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FE3" w:rsidRDefault="00584FE3" w:rsidP="00584FE3">
      <w:pPr>
        <w:jc w:val="center"/>
        <w:rPr>
          <w:b/>
          <w:sz w:val="26"/>
          <w:szCs w:val="26"/>
          <w:lang w:val="uk-UA"/>
        </w:rPr>
      </w:pPr>
      <w:r>
        <w:rPr>
          <w:b/>
          <w:sz w:val="26"/>
          <w:szCs w:val="26"/>
          <w:lang w:val="uk-UA"/>
        </w:rPr>
        <w:t>Комітет Верховної Ради України з питань боротьби із організованою злочинністю та корупцією</w:t>
      </w:r>
    </w:p>
    <w:p w:rsidR="00584FE3" w:rsidRDefault="00584FE3" w:rsidP="00584FE3">
      <w:pPr>
        <w:jc w:val="center"/>
        <w:rPr>
          <w:b/>
          <w:sz w:val="28"/>
          <w:szCs w:val="28"/>
          <w:lang w:val="uk-UA"/>
        </w:rPr>
      </w:pPr>
      <w:r w:rsidRPr="00265D18">
        <w:rPr>
          <w:b/>
          <w:sz w:val="28"/>
          <w:szCs w:val="28"/>
          <w:lang w:val="uk-UA"/>
        </w:rPr>
        <w:t>Громадська експертна рада</w:t>
      </w:r>
    </w:p>
    <w:p w:rsidR="00584FE3" w:rsidRPr="00E55B93" w:rsidRDefault="00584FE3" w:rsidP="00584FE3">
      <w:pPr>
        <w:jc w:val="center"/>
        <w:rPr>
          <w:b/>
          <w:sz w:val="26"/>
          <w:szCs w:val="26"/>
          <w:lang w:val="uk-UA"/>
        </w:rPr>
      </w:pPr>
      <w:r>
        <w:rPr>
          <w:b/>
          <w:sz w:val="26"/>
          <w:szCs w:val="26"/>
          <w:lang w:val="uk-UA"/>
        </w:rPr>
        <w:t>Р</w:t>
      </w:r>
      <w:r w:rsidRPr="00E55B93">
        <w:rPr>
          <w:b/>
          <w:sz w:val="26"/>
          <w:szCs w:val="26"/>
          <w:lang w:val="uk-UA"/>
        </w:rPr>
        <w:t xml:space="preserve">езультати громадської антикорупційної експертизи </w:t>
      </w:r>
      <w:r>
        <w:rPr>
          <w:b/>
          <w:sz w:val="26"/>
          <w:szCs w:val="26"/>
          <w:lang w:val="uk-UA"/>
        </w:rPr>
        <w:t>законопроектів</w:t>
      </w:r>
    </w:p>
    <w:p w:rsidR="00584FE3" w:rsidRDefault="00584FE3" w:rsidP="00584FE3">
      <w:pPr>
        <w:spacing w:after="0" w:line="240" w:lineRule="auto"/>
        <w:rPr>
          <w:sz w:val="24"/>
          <w:szCs w:val="24"/>
          <w:lang w:val="uk-UA"/>
        </w:rPr>
      </w:pPr>
    </w:p>
    <w:tbl>
      <w:tblPr>
        <w:tblW w:w="0" w:type="auto"/>
        <w:tblLook w:val="00A0"/>
      </w:tblPr>
      <w:tblGrid>
        <w:gridCol w:w="3085"/>
        <w:gridCol w:w="6486"/>
      </w:tblGrid>
      <w:tr w:rsidR="00584FE3" w:rsidRPr="00740E2C" w:rsidTr="006D51AB">
        <w:tc>
          <w:tcPr>
            <w:tcW w:w="3085" w:type="dxa"/>
            <w:tcBorders>
              <w:bottom w:val="single" w:sz="4" w:space="0" w:color="auto"/>
            </w:tcBorders>
          </w:tcPr>
          <w:p w:rsidR="00584FE3" w:rsidRPr="00B9319E" w:rsidRDefault="00584FE3" w:rsidP="006D51AB">
            <w:pPr>
              <w:spacing w:after="0" w:line="240" w:lineRule="auto"/>
              <w:rPr>
                <w:b/>
                <w:sz w:val="24"/>
                <w:szCs w:val="24"/>
                <w:lang w:val="uk-UA"/>
              </w:rPr>
            </w:pPr>
            <w:r w:rsidRPr="00B9319E">
              <w:rPr>
                <w:b/>
                <w:sz w:val="24"/>
                <w:szCs w:val="24"/>
                <w:lang w:val="uk-UA"/>
              </w:rPr>
              <w:t>Назва законопроекту</w:t>
            </w:r>
          </w:p>
        </w:tc>
        <w:tc>
          <w:tcPr>
            <w:tcW w:w="6486" w:type="dxa"/>
            <w:tcBorders>
              <w:bottom w:val="single" w:sz="4" w:space="0" w:color="auto"/>
            </w:tcBorders>
          </w:tcPr>
          <w:p w:rsidR="00584FE3" w:rsidRPr="009460CE" w:rsidRDefault="00842DBD" w:rsidP="006D51AB">
            <w:pPr>
              <w:pStyle w:val="a4"/>
              <w:tabs>
                <w:tab w:val="clear" w:pos="4677"/>
                <w:tab w:val="clear" w:pos="9355"/>
              </w:tabs>
              <w:ind w:right="-40"/>
              <w:rPr>
                <w:rFonts w:ascii="Calibri" w:hAnsi="Calibri"/>
                <w:sz w:val="24"/>
              </w:rPr>
            </w:pPr>
            <w:r w:rsidRPr="009460CE">
              <w:rPr>
                <w:rFonts w:ascii="Calibri" w:hAnsi="Calibri"/>
                <w:sz w:val="24"/>
              </w:rPr>
              <w:t>Про внесення змін до Закону України "Про забезпечення реалізації житлових прав мешканців гуртожитків" (щодо забезпечення житлових прав деяких категорій громадян)</w:t>
            </w:r>
          </w:p>
        </w:tc>
      </w:tr>
      <w:tr w:rsidR="00584FE3" w:rsidRPr="00B9319E" w:rsidTr="006D51AB">
        <w:tc>
          <w:tcPr>
            <w:tcW w:w="3085" w:type="dxa"/>
            <w:tcBorders>
              <w:top w:val="single" w:sz="4" w:space="0" w:color="auto"/>
              <w:bottom w:val="single" w:sz="4" w:space="0" w:color="auto"/>
            </w:tcBorders>
          </w:tcPr>
          <w:p w:rsidR="00584FE3" w:rsidRPr="00B9319E" w:rsidRDefault="00584FE3" w:rsidP="006D51AB">
            <w:pPr>
              <w:tabs>
                <w:tab w:val="left" w:pos="2085"/>
              </w:tabs>
              <w:spacing w:after="0" w:line="240" w:lineRule="auto"/>
              <w:rPr>
                <w:b/>
                <w:sz w:val="24"/>
                <w:szCs w:val="24"/>
                <w:lang w:val="uk-UA"/>
              </w:rPr>
            </w:pPr>
            <w:r w:rsidRPr="00B9319E">
              <w:rPr>
                <w:b/>
                <w:sz w:val="24"/>
                <w:szCs w:val="24"/>
                <w:lang w:val="uk-UA"/>
              </w:rPr>
              <w:t>Номер законопроекту</w:t>
            </w:r>
          </w:p>
        </w:tc>
        <w:tc>
          <w:tcPr>
            <w:tcW w:w="6486" w:type="dxa"/>
            <w:tcBorders>
              <w:top w:val="single" w:sz="4" w:space="0" w:color="auto"/>
              <w:bottom w:val="single" w:sz="4" w:space="0" w:color="auto"/>
            </w:tcBorders>
          </w:tcPr>
          <w:p w:rsidR="00584FE3" w:rsidRPr="009460CE" w:rsidRDefault="00842DBD" w:rsidP="006D51AB">
            <w:pPr>
              <w:spacing w:after="0" w:line="240" w:lineRule="auto"/>
              <w:rPr>
                <w:sz w:val="24"/>
                <w:szCs w:val="24"/>
                <w:lang w:val="uk-UA"/>
              </w:rPr>
            </w:pPr>
            <w:r w:rsidRPr="009460CE">
              <w:rPr>
                <w:sz w:val="24"/>
                <w:szCs w:val="24"/>
                <w:lang w:val="uk-UA"/>
              </w:rPr>
              <w:t>3719</w:t>
            </w:r>
          </w:p>
        </w:tc>
      </w:tr>
      <w:tr w:rsidR="00584FE3" w:rsidRPr="00B9319E" w:rsidTr="006D51AB">
        <w:tc>
          <w:tcPr>
            <w:tcW w:w="3085" w:type="dxa"/>
            <w:tcBorders>
              <w:top w:val="single" w:sz="4" w:space="0" w:color="auto"/>
              <w:bottom w:val="single" w:sz="4" w:space="0" w:color="auto"/>
            </w:tcBorders>
          </w:tcPr>
          <w:p w:rsidR="00584FE3" w:rsidRPr="00B9319E" w:rsidRDefault="00584FE3" w:rsidP="006D51AB">
            <w:pPr>
              <w:spacing w:after="0" w:line="240" w:lineRule="auto"/>
              <w:rPr>
                <w:b/>
                <w:sz w:val="24"/>
                <w:szCs w:val="24"/>
                <w:lang w:val="uk-UA"/>
              </w:rPr>
            </w:pPr>
            <w:r w:rsidRPr="00B9319E">
              <w:rPr>
                <w:b/>
                <w:sz w:val="24"/>
                <w:szCs w:val="24"/>
                <w:lang w:val="uk-UA"/>
              </w:rPr>
              <w:t>Дата реєстрації</w:t>
            </w:r>
          </w:p>
        </w:tc>
        <w:tc>
          <w:tcPr>
            <w:tcW w:w="6486" w:type="dxa"/>
            <w:tcBorders>
              <w:top w:val="single" w:sz="4" w:space="0" w:color="auto"/>
              <w:bottom w:val="single" w:sz="4" w:space="0" w:color="auto"/>
            </w:tcBorders>
          </w:tcPr>
          <w:p w:rsidR="00584FE3" w:rsidRPr="001A19DD" w:rsidRDefault="00842DBD" w:rsidP="006D51AB">
            <w:pPr>
              <w:spacing w:after="0" w:line="240" w:lineRule="auto"/>
              <w:rPr>
                <w:rFonts w:asciiTheme="minorHAnsi" w:hAnsiTheme="minorHAnsi"/>
                <w:sz w:val="24"/>
                <w:szCs w:val="24"/>
                <w:lang w:val="uk-UA"/>
              </w:rPr>
            </w:pPr>
            <w:r>
              <w:rPr>
                <w:sz w:val="24"/>
                <w:szCs w:val="24"/>
                <w:lang w:val="uk-UA"/>
              </w:rPr>
              <w:t>02.12</w:t>
            </w:r>
            <w:r w:rsidRPr="00653095">
              <w:rPr>
                <w:sz w:val="24"/>
                <w:szCs w:val="24"/>
                <w:lang w:val="uk-UA"/>
              </w:rPr>
              <w:t>.2013</w:t>
            </w:r>
          </w:p>
        </w:tc>
      </w:tr>
      <w:tr w:rsidR="00584FE3" w:rsidRPr="00B9319E" w:rsidTr="006D51AB">
        <w:tc>
          <w:tcPr>
            <w:tcW w:w="3085" w:type="dxa"/>
            <w:tcBorders>
              <w:top w:val="single" w:sz="4" w:space="0" w:color="auto"/>
              <w:bottom w:val="single" w:sz="4" w:space="0" w:color="auto"/>
            </w:tcBorders>
          </w:tcPr>
          <w:p w:rsidR="00584FE3" w:rsidRPr="00B9319E" w:rsidRDefault="00584FE3" w:rsidP="006D51AB">
            <w:pPr>
              <w:spacing w:after="0" w:line="240" w:lineRule="auto"/>
              <w:rPr>
                <w:b/>
                <w:sz w:val="24"/>
                <w:szCs w:val="24"/>
                <w:lang w:val="uk-UA"/>
              </w:rPr>
            </w:pPr>
            <w:r w:rsidRPr="00B9319E">
              <w:rPr>
                <w:b/>
                <w:sz w:val="24"/>
                <w:szCs w:val="24"/>
                <w:lang w:val="uk-UA"/>
              </w:rPr>
              <w:t>Автор законопроекту</w:t>
            </w:r>
          </w:p>
        </w:tc>
        <w:tc>
          <w:tcPr>
            <w:tcW w:w="6486" w:type="dxa"/>
            <w:tcBorders>
              <w:top w:val="single" w:sz="4" w:space="0" w:color="auto"/>
              <w:bottom w:val="single" w:sz="4" w:space="0" w:color="auto"/>
            </w:tcBorders>
          </w:tcPr>
          <w:p w:rsidR="00584FE3" w:rsidRPr="00842DBD" w:rsidRDefault="00842DBD" w:rsidP="00842DBD">
            <w:pPr>
              <w:spacing w:after="0" w:line="240" w:lineRule="auto"/>
              <w:rPr>
                <w:rFonts w:asciiTheme="minorHAnsi" w:hAnsiTheme="minorHAnsi"/>
                <w:sz w:val="24"/>
                <w:szCs w:val="24"/>
                <w:lang w:val="uk-UA"/>
              </w:rPr>
            </w:pPr>
            <w:r>
              <w:rPr>
                <w:sz w:val="24"/>
                <w:szCs w:val="24"/>
                <w:lang w:val="uk-UA"/>
              </w:rPr>
              <w:t>Катеринчук М. Д., народний депутат України, фракція ВО «Батьківщина»</w:t>
            </w:r>
          </w:p>
        </w:tc>
      </w:tr>
      <w:tr w:rsidR="00584FE3" w:rsidRPr="00B9319E" w:rsidTr="006D51AB">
        <w:trPr>
          <w:trHeight w:val="774"/>
        </w:trPr>
        <w:tc>
          <w:tcPr>
            <w:tcW w:w="3085" w:type="dxa"/>
            <w:tcBorders>
              <w:top w:val="single" w:sz="4" w:space="0" w:color="auto"/>
              <w:bottom w:val="single" w:sz="4" w:space="0" w:color="auto"/>
            </w:tcBorders>
          </w:tcPr>
          <w:p w:rsidR="00584FE3" w:rsidRPr="00B9319E" w:rsidRDefault="00584FE3" w:rsidP="006D51AB">
            <w:pPr>
              <w:spacing w:after="0" w:line="240" w:lineRule="auto"/>
              <w:rPr>
                <w:b/>
                <w:sz w:val="24"/>
                <w:szCs w:val="24"/>
                <w:lang w:val="uk-UA"/>
              </w:rPr>
            </w:pPr>
            <w:r w:rsidRPr="00B9319E">
              <w:rPr>
                <w:b/>
                <w:sz w:val="24"/>
                <w:szCs w:val="24"/>
                <w:lang w:val="uk-UA"/>
              </w:rPr>
              <w:t>Головний комітет ВРУ</w:t>
            </w:r>
          </w:p>
        </w:tc>
        <w:tc>
          <w:tcPr>
            <w:tcW w:w="6486" w:type="dxa"/>
            <w:tcBorders>
              <w:top w:val="single" w:sz="4" w:space="0" w:color="auto"/>
              <w:bottom w:val="single" w:sz="4" w:space="0" w:color="auto"/>
            </w:tcBorders>
          </w:tcPr>
          <w:p w:rsidR="00584FE3" w:rsidRPr="001A19DD" w:rsidRDefault="00842DBD" w:rsidP="006D51AB">
            <w:pPr>
              <w:spacing w:after="0" w:line="240" w:lineRule="auto"/>
              <w:rPr>
                <w:rFonts w:asciiTheme="minorHAnsi" w:hAnsiTheme="minorHAnsi"/>
                <w:sz w:val="24"/>
                <w:szCs w:val="24"/>
              </w:rPr>
            </w:pPr>
            <w:r w:rsidRPr="008939CC">
              <w:rPr>
                <w:sz w:val="24"/>
                <w:szCs w:val="24"/>
                <w:lang w:val="uk-UA"/>
              </w:rPr>
              <w:t>Комітет з питань будівництва, містобудування і житлово-комунального господарства та регіональної політики</w:t>
            </w:r>
          </w:p>
        </w:tc>
      </w:tr>
      <w:tr w:rsidR="00584FE3" w:rsidRPr="00B9319E" w:rsidTr="006D51AB">
        <w:tc>
          <w:tcPr>
            <w:tcW w:w="3085" w:type="dxa"/>
            <w:tcBorders>
              <w:top w:val="single" w:sz="4" w:space="0" w:color="auto"/>
              <w:bottom w:val="single" w:sz="4" w:space="0" w:color="auto"/>
            </w:tcBorders>
          </w:tcPr>
          <w:p w:rsidR="00584FE3" w:rsidRPr="00B9319E" w:rsidRDefault="00584FE3" w:rsidP="006D51AB">
            <w:pPr>
              <w:spacing w:after="0" w:line="240" w:lineRule="auto"/>
              <w:rPr>
                <w:b/>
                <w:sz w:val="24"/>
                <w:szCs w:val="24"/>
                <w:lang w:val="uk-UA"/>
              </w:rPr>
            </w:pPr>
            <w:r w:rsidRPr="00B9319E">
              <w:rPr>
                <w:b/>
                <w:sz w:val="24"/>
                <w:szCs w:val="24"/>
                <w:lang w:val="uk-UA"/>
              </w:rPr>
              <w:t>Етап проходження</w:t>
            </w:r>
          </w:p>
        </w:tc>
        <w:tc>
          <w:tcPr>
            <w:tcW w:w="6486" w:type="dxa"/>
            <w:tcBorders>
              <w:top w:val="single" w:sz="4" w:space="0" w:color="auto"/>
              <w:bottom w:val="single" w:sz="4" w:space="0" w:color="auto"/>
            </w:tcBorders>
          </w:tcPr>
          <w:p w:rsidR="00584FE3" w:rsidRPr="001A19DD" w:rsidRDefault="00842DBD" w:rsidP="006D51AB">
            <w:pPr>
              <w:spacing w:after="0" w:line="240" w:lineRule="auto"/>
              <w:rPr>
                <w:rFonts w:asciiTheme="minorHAnsi" w:hAnsiTheme="minorHAnsi"/>
                <w:sz w:val="24"/>
                <w:szCs w:val="24"/>
                <w:lang w:val="uk-UA"/>
              </w:rPr>
            </w:pPr>
            <w:r>
              <w:rPr>
                <w:sz w:val="24"/>
                <w:szCs w:val="24"/>
                <w:lang w:val="uk-UA"/>
              </w:rPr>
              <w:t>Надано для ознайомлення (05.12</w:t>
            </w:r>
            <w:r w:rsidRPr="00653095">
              <w:rPr>
                <w:sz w:val="24"/>
                <w:szCs w:val="24"/>
                <w:lang w:val="uk-UA"/>
              </w:rPr>
              <w:t>.2013)</w:t>
            </w:r>
          </w:p>
        </w:tc>
      </w:tr>
      <w:tr w:rsidR="00584FE3" w:rsidRPr="00B9319E" w:rsidTr="006D51AB">
        <w:tc>
          <w:tcPr>
            <w:tcW w:w="3085" w:type="dxa"/>
            <w:tcBorders>
              <w:top w:val="single" w:sz="4" w:space="0" w:color="auto"/>
              <w:bottom w:val="single" w:sz="4" w:space="0" w:color="auto"/>
            </w:tcBorders>
          </w:tcPr>
          <w:p w:rsidR="00584FE3" w:rsidRPr="00B9319E" w:rsidRDefault="00584FE3" w:rsidP="006D51AB">
            <w:pPr>
              <w:spacing w:after="0" w:line="240" w:lineRule="auto"/>
              <w:rPr>
                <w:b/>
                <w:sz w:val="24"/>
                <w:szCs w:val="24"/>
                <w:lang w:val="uk-UA"/>
              </w:rPr>
            </w:pPr>
            <w:r w:rsidRPr="00B9319E">
              <w:rPr>
                <w:b/>
                <w:sz w:val="24"/>
                <w:szCs w:val="24"/>
                <w:lang w:val="uk-UA"/>
              </w:rPr>
              <w:t>Висновок Головного науково-експертного управління ВРУ</w:t>
            </w:r>
          </w:p>
        </w:tc>
        <w:tc>
          <w:tcPr>
            <w:tcW w:w="6486" w:type="dxa"/>
            <w:tcBorders>
              <w:top w:val="single" w:sz="4" w:space="0" w:color="auto"/>
              <w:bottom w:val="single" w:sz="4" w:space="0" w:color="auto"/>
            </w:tcBorders>
          </w:tcPr>
          <w:p w:rsidR="00584FE3" w:rsidRPr="001A19DD" w:rsidRDefault="00842DBD" w:rsidP="006D51AB">
            <w:pPr>
              <w:spacing w:after="0" w:line="240" w:lineRule="auto"/>
              <w:rPr>
                <w:rFonts w:asciiTheme="minorHAnsi" w:hAnsiTheme="minorHAnsi"/>
                <w:sz w:val="24"/>
                <w:szCs w:val="24"/>
                <w:lang w:val="uk-UA"/>
              </w:rPr>
            </w:pPr>
            <w:r>
              <w:rPr>
                <w:rFonts w:asciiTheme="minorHAnsi" w:hAnsiTheme="minorHAnsi"/>
                <w:sz w:val="24"/>
                <w:szCs w:val="24"/>
                <w:lang w:val="uk-UA"/>
              </w:rPr>
              <w:t xml:space="preserve">На момент проведення експертизи відсутній </w:t>
            </w:r>
          </w:p>
        </w:tc>
      </w:tr>
      <w:tr w:rsidR="00584FE3" w:rsidRPr="00B9319E" w:rsidTr="006D51AB">
        <w:tc>
          <w:tcPr>
            <w:tcW w:w="3085" w:type="dxa"/>
            <w:tcBorders>
              <w:top w:val="single" w:sz="4" w:space="0" w:color="auto"/>
              <w:bottom w:val="single" w:sz="4" w:space="0" w:color="auto"/>
            </w:tcBorders>
          </w:tcPr>
          <w:p w:rsidR="00584FE3" w:rsidRPr="00B9319E" w:rsidRDefault="00584FE3" w:rsidP="006D51AB">
            <w:pPr>
              <w:spacing w:after="0" w:line="240" w:lineRule="auto"/>
              <w:rPr>
                <w:b/>
                <w:sz w:val="24"/>
                <w:szCs w:val="24"/>
                <w:lang w:val="uk-UA"/>
              </w:rPr>
            </w:pPr>
            <w:r w:rsidRPr="00B9319E">
              <w:rPr>
                <w:b/>
                <w:sz w:val="24"/>
                <w:szCs w:val="24"/>
                <w:lang w:val="uk-UA"/>
              </w:rPr>
              <w:t>Висновок профільного Комітету ВРУ</w:t>
            </w:r>
          </w:p>
        </w:tc>
        <w:tc>
          <w:tcPr>
            <w:tcW w:w="6486" w:type="dxa"/>
            <w:tcBorders>
              <w:top w:val="single" w:sz="4" w:space="0" w:color="auto"/>
              <w:bottom w:val="single" w:sz="4" w:space="0" w:color="auto"/>
            </w:tcBorders>
          </w:tcPr>
          <w:p w:rsidR="00584FE3" w:rsidRPr="001A19DD" w:rsidRDefault="00842DBD" w:rsidP="006D51AB">
            <w:pPr>
              <w:jc w:val="both"/>
              <w:rPr>
                <w:rFonts w:asciiTheme="minorHAnsi" w:hAnsiTheme="minorHAnsi"/>
                <w:sz w:val="24"/>
                <w:szCs w:val="24"/>
                <w:lang w:val="uk-UA"/>
              </w:rPr>
            </w:pPr>
            <w:r>
              <w:rPr>
                <w:rFonts w:asciiTheme="minorHAnsi" w:hAnsiTheme="minorHAnsi"/>
                <w:sz w:val="24"/>
                <w:szCs w:val="24"/>
                <w:lang w:val="uk-UA"/>
              </w:rPr>
              <w:t>На момент проведення експертизи відсутній</w:t>
            </w:r>
          </w:p>
        </w:tc>
      </w:tr>
      <w:tr w:rsidR="00584FE3" w:rsidRPr="00740E2C" w:rsidTr="006D51AB">
        <w:tc>
          <w:tcPr>
            <w:tcW w:w="3085" w:type="dxa"/>
            <w:tcBorders>
              <w:top w:val="single" w:sz="4" w:space="0" w:color="auto"/>
            </w:tcBorders>
          </w:tcPr>
          <w:p w:rsidR="00584FE3" w:rsidRPr="00B9319E" w:rsidRDefault="00584FE3" w:rsidP="006D51AB">
            <w:pPr>
              <w:spacing w:after="0" w:line="240" w:lineRule="auto"/>
              <w:rPr>
                <w:b/>
                <w:sz w:val="24"/>
                <w:szCs w:val="24"/>
                <w:lang w:val="uk-UA"/>
              </w:rPr>
            </w:pPr>
            <w:proofErr w:type="spellStart"/>
            <w:r w:rsidRPr="00B9319E">
              <w:rPr>
                <w:b/>
                <w:sz w:val="24"/>
                <w:szCs w:val="24"/>
                <w:lang w:val="uk-UA"/>
              </w:rPr>
              <w:t>Веб-адреса</w:t>
            </w:r>
            <w:proofErr w:type="spellEnd"/>
            <w:r w:rsidRPr="00B9319E">
              <w:rPr>
                <w:b/>
                <w:sz w:val="24"/>
                <w:szCs w:val="24"/>
                <w:lang w:val="uk-UA"/>
              </w:rPr>
              <w:t xml:space="preserve"> картки законопроекту на сервері ВРУ</w:t>
            </w:r>
          </w:p>
        </w:tc>
        <w:tc>
          <w:tcPr>
            <w:tcW w:w="6486" w:type="dxa"/>
            <w:tcBorders>
              <w:top w:val="single" w:sz="4" w:space="0" w:color="auto"/>
            </w:tcBorders>
          </w:tcPr>
          <w:p w:rsidR="00584FE3" w:rsidRPr="001A19DD" w:rsidRDefault="00336578" w:rsidP="006D51AB">
            <w:pPr>
              <w:spacing w:after="0" w:line="240" w:lineRule="auto"/>
              <w:rPr>
                <w:rFonts w:asciiTheme="minorHAnsi" w:hAnsiTheme="minorHAnsi"/>
                <w:sz w:val="24"/>
                <w:szCs w:val="24"/>
                <w:lang w:val="uk-UA"/>
              </w:rPr>
            </w:pPr>
            <w:hyperlink r:id="rId5" w:history="1">
              <w:r w:rsidR="009460CE">
                <w:rPr>
                  <w:rStyle w:val="a3"/>
                </w:rPr>
                <w:t>http</w:t>
              </w:r>
              <w:r w:rsidR="009460CE" w:rsidRPr="009460CE">
                <w:rPr>
                  <w:rStyle w:val="a3"/>
                  <w:lang w:val="uk-UA"/>
                </w:rPr>
                <w:t>://</w:t>
              </w:r>
              <w:r w:rsidR="009460CE">
                <w:rPr>
                  <w:rStyle w:val="a3"/>
                </w:rPr>
                <w:t>w</w:t>
              </w:r>
              <w:r w:rsidR="009460CE" w:rsidRPr="009460CE">
                <w:rPr>
                  <w:rStyle w:val="a3"/>
                  <w:lang w:val="uk-UA"/>
                </w:rPr>
                <w:t>1.</w:t>
              </w:r>
              <w:r w:rsidR="009460CE">
                <w:rPr>
                  <w:rStyle w:val="a3"/>
                </w:rPr>
                <w:t>c</w:t>
              </w:r>
              <w:r w:rsidR="009460CE" w:rsidRPr="009460CE">
                <w:rPr>
                  <w:rStyle w:val="a3"/>
                  <w:lang w:val="uk-UA"/>
                </w:rPr>
                <w:t>1.</w:t>
              </w:r>
              <w:r w:rsidR="009460CE">
                <w:rPr>
                  <w:rStyle w:val="a3"/>
                </w:rPr>
                <w:t>rada</w:t>
              </w:r>
              <w:r w:rsidR="009460CE" w:rsidRPr="009460CE">
                <w:rPr>
                  <w:rStyle w:val="a3"/>
                  <w:lang w:val="uk-UA"/>
                </w:rPr>
                <w:t>.</w:t>
              </w:r>
              <w:r w:rsidR="009460CE">
                <w:rPr>
                  <w:rStyle w:val="a3"/>
                </w:rPr>
                <w:t>gov</w:t>
              </w:r>
              <w:r w:rsidR="009460CE" w:rsidRPr="009460CE">
                <w:rPr>
                  <w:rStyle w:val="a3"/>
                  <w:lang w:val="uk-UA"/>
                </w:rPr>
                <w:t>.</w:t>
              </w:r>
              <w:r w:rsidR="009460CE">
                <w:rPr>
                  <w:rStyle w:val="a3"/>
                </w:rPr>
                <w:t>ua</w:t>
              </w:r>
              <w:r w:rsidR="009460CE" w:rsidRPr="009460CE">
                <w:rPr>
                  <w:rStyle w:val="a3"/>
                  <w:lang w:val="uk-UA"/>
                </w:rPr>
                <w:t>/</w:t>
              </w:r>
              <w:r w:rsidR="009460CE">
                <w:rPr>
                  <w:rStyle w:val="a3"/>
                </w:rPr>
                <w:t>pls</w:t>
              </w:r>
              <w:r w:rsidR="009460CE" w:rsidRPr="009460CE">
                <w:rPr>
                  <w:rStyle w:val="a3"/>
                  <w:lang w:val="uk-UA"/>
                </w:rPr>
                <w:t>/</w:t>
              </w:r>
              <w:r w:rsidR="009460CE">
                <w:rPr>
                  <w:rStyle w:val="a3"/>
                </w:rPr>
                <w:t>zweb</w:t>
              </w:r>
              <w:r w:rsidR="009460CE" w:rsidRPr="009460CE">
                <w:rPr>
                  <w:rStyle w:val="a3"/>
                  <w:lang w:val="uk-UA"/>
                </w:rPr>
                <w:t>2/</w:t>
              </w:r>
              <w:r w:rsidR="009460CE">
                <w:rPr>
                  <w:rStyle w:val="a3"/>
                </w:rPr>
                <w:t>webproc</w:t>
              </w:r>
              <w:r w:rsidR="009460CE" w:rsidRPr="009460CE">
                <w:rPr>
                  <w:rStyle w:val="a3"/>
                  <w:lang w:val="uk-UA"/>
                </w:rPr>
                <w:t>4_1?</w:t>
              </w:r>
              <w:r w:rsidR="009460CE">
                <w:rPr>
                  <w:rStyle w:val="a3"/>
                </w:rPr>
                <w:t>pf</w:t>
              </w:r>
              <w:r w:rsidR="009460CE" w:rsidRPr="009460CE">
                <w:rPr>
                  <w:rStyle w:val="a3"/>
                  <w:lang w:val="uk-UA"/>
                </w:rPr>
                <w:t>3511=49228</w:t>
              </w:r>
            </w:hyperlink>
          </w:p>
        </w:tc>
      </w:tr>
      <w:tr w:rsidR="00584FE3" w:rsidRPr="00805BAE" w:rsidTr="006D51AB">
        <w:tc>
          <w:tcPr>
            <w:tcW w:w="3085" w:type="dxa"/>
            <w:tcBorders>
              <w:top w:val="single" w:sz="4" w:space="0" w:color="auto"/>
            </w:tcBorders>
          </w:tcPr>
          <w:p w:rsidR="00584FE3" w:rsidRPr="00B9319E" w:rsidRDefault="00584FE3" w:rsidP="006D51AB">
            <w:pPr>
              <w:spacing w:after="0" w:line="240" w:lineRule="auto"/>
              <w:rPr>
                <w:b/>
                <w:sz w:val="24"/>
                <w:szCs w:val="24"/>
                <w:lang w:val="uk-UA"/>
              </w:rPr>
            </w:pPr>
            <w:r>
              <w:rPr>
                <w:b/>
                <w:sz w:val="24"/>
                <w:szCs w:val="24"/>
                <w:lang w:val="uk-UA"/>
              </w:rPr>
              <w:t>Дата схвалення висновку Громадською експертною радою</w:t>
            </w:r>
          </w:p>
        </w:tc>
        <w:tc>
          <w:tcPr>
            <w:tcW w:w="6486" w:type="dxa"/>
            <w:tcBorders>
              <w:top w:val="single" w:sz="4" w:space="0" w:color="auto"/>
            </w:tcBorders>
          </w:tcPr>
          <w:p w:rsidR="00584FE3" w:rsidRPr="00740E2C" w:rsidRDefault="00740E2C" w:rsidP="006D51AB">
            <w:pPr>
              <w:spacing w:after="0" w:line="240" w:lineRule="auto"/>
              <w:rPr>
                <w:rFonts w:asciiTheme="minorHAnsi" w:hAnsiTheme="minorHAnsi"/>
                <w:sz w:val="24"/>
                <w:szCs w:val="24"/>
                <w:lang w:val="uk-UA"/>
              </w:rPr>
            </w:pPr>
            <w:r w:rsidRPr="00740E2C">
              <w:rPr>
                <w:rFonts w:asciiTheme="minorHAnsi" w:hAnsiTheme="minorHAnsi"/>
                <w:sz w:val="24"/>
                <w:szCs w:val="24"/>
                <w:lang w:val="uk-UA"/>
              </w:rPr>
              <w:t>31 грудня 2013 року</w:t>
            </w:r>
          </w:p>
        </w:tc>
      </w:tr>
      <w:tr w:rsidR="00584FE3" w:rsidRPr="00B9319E" w:rsidTr="006D51AB">
        <w:tc>
          <w:tcPr>
            <w:tcW w:w="3085" w:type="dxa"/>
            <w:tcBorders>
              <w:top w:val="single" w:sz="4" w:space="0" w:color="auto"/>
            </w:tcBorders>
          </w:tcPr>
          <w:p w:rsidR="00584FE3" w:rsidRPr="00B9319E" w:rsidRDefault="00584FE3" w:rsidP="006D51AB">
            <w:pPr>
              <w:spacing w:after="0" w:line="240" w:lineRule="auto"/>
              <w:rPr>
                <w:b/>
                <w:sz w:val="24"/>
                <w:szCs w:val="24"/>
                <w:lang w:val="uk-UA"/>
              </w:rPr>
            </w:pPr>
            <w:r w:rsidRPr="00B9319E">
              <w:rPr>
                <w:b/>
                <w:sz w:val="24"/>
                <w:szCs w:val="24"/>
                <w:lang w:val="uk-UA"/>
              </w:rPr>
              <w:t xml:space="preserve">Висновок та рекомендації </w:t>
            </w:r>
          </w:p>
          <w:p w:rsidR="00584FE3" w:rsidRPr="00B9319E" w:rsidRDefault="00584FE3" w:rsidP="006D51AB">
            <w:pPr>
              <w:spacing w:after="0" w:line="240" w:lineRule="auto"/>
              <w:rPr>
                <w:b/>
                <w:sz w:val="24"/>
                <w:szCs w:val="24"/>
                <w:lang w:val="uk-UA"/>
              </w:rPr>
            </w:pPr>
            <w:r w:rsidRPr="00B9319E">
              <w:rPr>
                <w:b/>
                <w:sz w:val="24"/>
                <w:szCs w:val="24"/>
                <w:lang w:val="uk-UA"/>
              </w:rPr>
              <w:t>Громадської експертної ради</w:t>
            </w:r>
          </w:p>
        </w:tc>
        <w:tc>
          <w:tcPr>
            <w:tcW w:w="6486" w:type="dxa"/>
            <w:tcBorders>
              <w:top w:val="single" w:sz="4" w:space="0" w:color="auto"/>
            </w:tcBorders>
          </w:tcPr>
          <w:p w:rsidR="00584FE3" w:rsidRPr="001A19DD" w:rsidRDefault="00584FE3" w:rsidP="006D51AB">
            <w:pPr>
              <w:spacing w:after="0" w:line="240" w:lineRule="auto"/>
              <w:rPr>
                <w:rFonts w:asciiTheme="minorHAnsi" w:hAnsiTheme="minorHAnsi"/>
                <w:b/>
                <w:sz w:val="24"/>
                <w:szCs w:val="24"/>
                <w:lang w:val="uk-UA"/>
              </w:rPr>
            </w:pPr>
            <w:r w:rsidRPr="001A19DD">
              <w:rPr>
                <w:rFonts w:asciiTheme="minorHAnsi" w:hAnsiTheme="minorHAnsi"/>
                <w:b/>
                <w:sz w:val="24"/>
                <w:szCs w:val="24"/>
                <w:lang w:val="uk-UA"/>
              </w:rPr>
              <w:t>Виявлено корупційні ризики</w:t>
            </w:r>
          </w:p>
          <w:p w:rsidR="00584FE3" w:rsidRPr="001A19DD" w:rsidRDefault="00584FE3" w:rsidP="006D51AB">
            <w:pPr>
              <w:spacing w:after="0" w:line="240" w:lineRule="auto"/>
              <w:rPr>
                <w:rFonts w:asciiTheme="minorHAnsi" w:hAnsiTheme="minorHAnsi"/>
                <w:b/>
                <w:sz w:val="24"/>
                <w:szCs w:val="24"/>
                <w:lang w:val="uk-UA"/>
              </w:rPr>
            </w:pPr>
          </w:p>
          <w:p w:rsidR="00584FE3" w:rsidRPr="001A19DD" w:rsidRDefault="00584FE3" w:rsidP="006D51AB">
            <w:pPr>
              <w:spacing w:after="0" w:line="240" w:lineRule="auto"/>
              <w:rPr>
                <w:rFonts w:asciiTheme="minorHAnsi" w:hAnsiTheme="minorHAnsi"/>
                <w:b/>
                <w:sz w:val="24"/>
                <w:szCs w:val="24"/>
                <w:lang w:val="uk-UA"/>
              </w:rPr>
            </w:pPr>
            <w:r w:rsidRPr="001A19DD">
              <w:rPr>
                <w:rFonts w:asciiTheme="minorHAnsi" w:hAnsiTheme="minorHAnsi"/>
                <w:b/>
                <w:sz w:val="24"/>
                <w:szCs w:val="24"/>
                <w:lang w:val="uk-UA"/>
              </w:rPr>
              <w:t xml:space="preserve">Відправити на доопрацювання за результатами розгляду у першому читанні </w:t>
            </w:r>
          </w:p>
        </w:tc>
      </w:tr>
    </w:tbl>
    <w:p w:rsidR="00584FE3" w:rsidRPr="00905C1E" w:rsidRDefault="00584FE3" w:rsidP="00584FE3">
      <w:pPr>
        <w:spacing w:after="0" w:line="240" w:lineRule="auto"/>
        <w:rPr>
          <w:sz w:val="24"/>
          <w:szCs w:val="24"/>
        </w:rPr>
      </w:pPr>
    </w:p>
    <w:p w:rsidR="00584FE3" w:rsidRPr="00103934" w:rsidRDefault="00584FE3" w:rsidP="00584FE3">
      <w:pPr>
        <w:spacing w:after="0" w:line="240" w:lineRule="auto"/>
        <w:rPr>
          <w:sz w:val="24"/>
          <w:szCs w:val="24"/>
          <w:lang w:val="uk-UA"/>
        </w:rPr>
      </w:pPr>
    </w:p>
    <w:p w:rsidR="00584FE3" w:rsidRPr="00653095" w:rsidRDefault="00584FE3" w:rsidP="00584FE3">
      <w:pPr>
        <w:jc w:val="right"/>
        <w:rPr>
          <w:sz w:val="24"/>
          <w:szCs w:val="24"/>
          <w:lang w:val="uk-UA"/>
        </w:rPr>
      </w:pPr>
      <w:r w:rsidRPr="00653095">
        <w:rPr>
          <w:sz w:val="24"/>
          <w:szCs w:val="24"/>
          <w:lang w:val="uk-UA"/>
        </w:rPr>
        <w:t>Виконавець:</w:t>
      </w:r>
    </w:p>
    <w:p w:rsidR="00584FE3" w:rsidRPr="00653095" w:rsidRDefault="00584FE3" w:rsidP="00584FE3">
      <w:pPr>
        <w:jc w:val="right"/>
        <w:rPr>
          <w:sz w:val="24"/>
          <w:szCs w:val="24"/>
          <w:shd w:val="clear" w:color="auto" w:fill="FFFFFF"/>
          <w:lang w:val="uk-UA"/>
        </w:rPr>
      </w:pPr>
      <w:r w:rsidRPr="00653095">
        <w:rPr>
          <w:sz w:val="24"/>
          <w:szCs w:val="24"/>
          <w:shd w:val="clear" w:color="auto" w:fill="FFFFFF"/>
          <w:lang w:val="uk-UA"/>
        </w:rPr>
        <w:t xml:space="preserve">директор з наукового розвитку Центру політико-правових реформ, </w:t>
      </w:r>
    </w:p>
    <w:p w:rsidR="00584FE3" w:rsidRPr="00653095" w:rsidRDefault="00584FE3" w:rsidP="00584FE3">
      <w:pPr>
        <w:jc w:val="right"/>
        <w:rPr>
          <w:sz w:val="24"/>
          <w:szCs w:val="24"/>
          <w:lang w:val="uk-UA"/>
        </w:rPr>
      </w:pPr>
      <w:r w:rsidRPr="00653095">
        <w:rPr>
          <w:sz w:val="24"/>
          <w:szCs w:val="24"/>
          <w:shd w:val="clear" w:color="auto" w:fill="FFFFFF"/>
          <w:lang w:val="uk-UA"/>
        </w:rPr>
        <w:t>експерт з кримінального права і проблем корупції</w:t>
      </w:r>
    </w:p>
    <w:p w:rsidR="00584FE3" w:rsidRDefault="00584FE3" w:rsidP="00584FE3">
      <w:pPr>
        <w:jc w:val="right"/>
        <w:rPr>
          <w:sz w:val="24"/>
          <w:szCs w:val="24"/>
          <w:lang w:val="en-US"/>
        </w:rPr>
      </w:pPr>
      <w:r w:rsidRPr="00653095">
        <w:rPr>
          <w:sz w:val="24"/>
          <w:szCs w:val="24"/>
          <w:lang w:val="uk-UA"/>
        </w:rPr>
        <w:t>Микола Хавронюк</w:t>
      </w:r>
    </w:p>
    <w:p w:rsidR="008E1091" w:rsidRDefault="008E1091">
      <w:pPr>
        <w:rPr>
          <w:sz w:val="24"/>
          <w:szCs w:val="24"/>
          <w:lang w:val="en-US"/>
        </w:rPr>
      </w:pPr>
      <w:r>
        <w:rPr>
          <w:sz w:val="24"/>
          <w:szCs w:val="24"/>
          <w:lang w:val="en-US"/>
        </w:rPr>
        <w:br w:type="page"/>
      </w:r>
    </w:p>
    <w:p w:rsidR="00584FE3" w:rsidRPr="00C24F10" w:rsidRDefault="00584FE3" w:rsidP="00584FE3">
      <w:pPr>
        <w:pStyle w:val="1"/>
        <w:numPr>
          <w:ilvl w:val="0"/>
          <w:numId w:val="1"/>
        </w:numPr>
        <w:pBdr>
          <w:top w:val="single" w:sz="4" w:space="1" w:color="auto"/>
          <w:left w:val="single" w:sz="4" w:space="31" w:color="auto"/>
          <w:bottom w:val="single" w:sz="4" w:space="0" w:color="auto"/>
          <w:right w:val="single" w:sz="4" w:space="8" w:color="auto"/>
        </w:pBdr>
        <w:spacing w:before="120" w:after="0" w:line="240" w:lineRule="auto"/>
        <w:ind w:left="142" w:hanging="87"/>
        <w:contextualSpacing w:val="0"/>
        <w:rPr>
          <w:b/>
          <w:sz w:val="26"/>
          <w:szCs w:val="26"/>
        </w:rPr>
      </w:pPr>
      <w:r w:rsidRPr="00C24F10">
        <w:rPr>
          <w:b/>
          <w:sz w:val="26"/>
          <w:szCs w:val="26"/>
          <w:lang w:val="uk-UA"/>
        </w:rPr>
        <w:lastRenderedPageBreak/>
        <w:t>Короткий виклад результа</w:t>
      </w:r>
      <w:r>
        <w:rPr>
          <w:b/>
          <w:sz w:val="26"/>
          <w:szCs w:val="26"/>
          <w:lang w:val="uk-UA"/>
        </w:rPr>
        <w:t>тів громадської антикорупційної експертизи</w:t>
      </w:r>
    </w:p>
    <w:p w:rsidR="00333766" w:rsidRDefault="00584FE3" w:rsidP="00333766">
      <w:pPr>
        <w:pStyle w:val="1"/>
        <w:numPr>
          <w:ilvl w:val="0"/>
          <w:numId w:val="2"/>
        </w:numPr>
        <w:spacing w:before="120" w:after="0" w:line="240" w:lineRule="auto"/>
        <w:ind w:left="0" w:right="-711" w:firstLine="0"/>
        <w:contextualSpacing w:val="0"/>
        <w:rPr>
          <w:b/>
          <w:sz w:val="26"/>
          <w:szCs w:val="24"/>
          <w:lang w:val="uk-UA"/>
        </w:rPr>
      </w:pPr>
      <w:r>
        <w:rPr>
          <w:b/>
          <w:sz w:val="26"/>
          <w:szCs w:val="24"/>
          <w:lang w:val="uk-UA"/>
        </w:rPr>
        <w:t>Задекларована</w:t>
      </w:r>
      <w:r w:rsidRPr="005D4B7A">
        <w:rPr>
          <w:b/>
          <w:sz w:val="26"/>
          <w:szCs w:val="24"/>
          <w:lang w:val="uk-UA"/>
        </w:rPr>
        <w:t xml:space="preserve"> ціль та способи її досягнення: </w:t>
      </w:r>
    </w:p>
    <w:p w:rsidR="00584FE3" w:rsidRPr="00333766" w:rsidRDefault="00584FE3" w:rsidP="00333766">
      <w:pPr>
        <w:pStyle w:val="1"/>
        <w:spacing w:before="120" w:after="0" w:line="240" w:lineRule="auto"/>
        <w:ind w:left="0" w:right="-711"/>
        <w:contextualSpacing w:val="0"/>
        <w:rPr>
          <w:b/>
          <w:sz w:val="26"/>
          <w:szCs w:val="24"/>
          <w:lang w:val="uk-UA"/>
        </w:rPr>
      </w:pPr>
      <w:r w:rsidRPr="00333766">
        <w:rPr>
          <w:b/>
          <w:sz w:val="24"/>
          <w:szCs w:val="24"/>
          <w:lang w:val="uk-UA"/>
        </w:rPr>
        <w:t xml:space="preserve">Ціль: </w:t>
      </w:r>
      <w:r w:rsidR="00333766" w:rsidRPr="00333766">
        <w:rPr>
          <w:sz w:val="24"/>
          <w:szCs w:val="24"/>
          <w:lang w:val="uk-UA"/>
        </w:rPr>
        <w:t>забезпечення конституційних прав громадян на житло та поліпшення житлових умов працівників та пенсіонерів з числа колишніх працівників військових частин, закладів, установ та організацій Збройних Сил України, інших військових формувань, Міністерства внутрішніх справ України та державних навчальних закладів.</w:t>
      </w:r>
    </w:p>
    <w:p w:rsidR="006F5C86" w:rsidRDefault="00584FE3" w:rsidP="00486F42">
      <w:pPr>
        <w:pStyle w:val="1"/>
        <w:spacing w:before="120" w:after="0" w:line="240" w:lineRule="auto"/>
        <w:ind w:left="0"/>
        <w:contextualSpacing w:val="0"/>
        <w:jc w:val="both"/>
        <w:rPr>
          <w:sz w:val="24"/>
          <w:szCs w:val="24"/>
          <w:lang w:val="uk-UA"/>
        </w:rPr>
      </w:pPr>
      <w:r w:rsidRPr="00DE57C4">
        <w:rPr>
          <w:rFonts w:cs="Arial"/>
          <w:b/>
          <w:sz w:val="24"/>
          <w:szCs w:val="24"/>
          <w:lang w:val="uk-UA"/>
        </w:rPr>
        <w:t>Спосіб досягнення:</w:t>
      </w:r>
      <w:r>
        <w:rPr>
          <w:rFonts w:cs="Arial"/>
          <w:sz w:val="24"/>
          <w:szCs w:val="24"/>
          <w:lang w:val="uk-UA"/>
        </w:rPr>
        <w:t xml:space="preserve"> </w:t>
      </w:r>
      <w:r w:rsidR="006F5C86">
        <w:rPr>
          <w:rFonts w:cs="Arial"/>
          <w:sz w:val="24"/>
          <w:szCs w:val="24"/>
          <w:lang w:val="uk-UA"/>
        </w:rPr>
        <w:t xml:space="preserve">до </w:t>
      </w:r>
      <w:r w:rsidR="006F5C86">
        <w:rPr>
          <w:sz w:val="24"/>
          <w:szCs w:val="24"/>
          <w:lang w:val="uk-UA"/>
        </w:rPr>
        <w:t>ЗУ</w:t>
      </w:r>
      <w:r w:rsidR="006F5C86" w:rsidRPr="00D709EA">
        <w:rPr>
          <w:sz w:val="24"/>
          <w:szCs w:val="24"/>
          <w:lang w:val="uk-UA"/>
        </w:rPr>
        <w:t xml:space="preserve"> «Про забезпечення реалізації житлових прав мешканців гуртожитків» </w:t>
      </w:r>
      <w:r w:rsidR="006F5C86">
        <w:rPr>
          <w:sz w:val="24"/>
          <w:szCs w:val="24"/>
          <w:lang w:val="uk-UA"/>
        </w:rPr>
        <w:t xml:space="preserve">вносяться наступні дві зміни. </w:t>
      </w:r>
      <w:r w:rsidR="00486F42">
        <w:rPr>
          <w:sz w:val="24"/>
          <w:szCs w:val="24"/>
          <w:lang w:val="uk-UA"/>
        </w:rPr>
        <w:t xml:space="preserve">По-перше, громадянам, </w:t>
      </w:r>
      <w:r w:rsidR="006F5C86" w:rsidRPr="00D709EA">
        <w:rPr>
          <w:sz w:val="24"/>
          <w:szCs w:val="24"/>
          <w:lang w:val="uk-UA"/>
        </w:rPr>
        <w:t>які проживають у гуртожитках, що перебувають у господарському віданні чи в оперативному управлінні військових частин, закладів</w:t>
      </w:r>
      <w:r w:rsidR="00486F42">
        <w:rPr>
          <w:sz w:val="24"/>
          <w:szCs w:val="24"/>
          <w:lang w:val="uk-UA"/>
        </w:rPr>
        <w:t xml:space="preserve"> тощо </w:t>
      </w:r>
      <w:r w:rsidR="006F5C86" w:rsidRPr="00D709EA">
        <w:rPr>
          <w:sz w:val="24"/>
          <w:szCs w:val="24"/>
          <w:lang w:val="uk-UA"/>
        </w:rPr>
        <w:t>Збройних Сил України, Міністерства внутрішніх справ України</w:t>
      </w:r>
      <w:r w:rsidR="00486F42">
        <w:rPr>
          <w:sz w:val="24"/>
          <w:szCs w:val="24"/>
          <w:lang w:val="uk-UA"/>
        </w:rPr>
        <w:t xml:space="preserve">, та </w:t>
      </w:r>
      <w:r w:rsidR="006F5C86" w:rsidRPr="00D709EA">
        <w:rPr>
          <w:sz w:val="24"/>
          <w:szCs w:val="24"/>
          <w:lang w:val="uk-UA"/>
        </w:rPr>
        <w:t xml:space="preserve">які не належать до категорій громадян, на яких не поширюється сфера дії цього Закону, </w:t>
      </w:r>
      <w:r w:rsidR="00486F42">
        <w:rPr>
          <w:sz w:val="24"/>
          <w:szCs w:val="24"/>
          <w:lang w:val="uk-UA"/>
        </w:rPr>
        <w:t xml:space="preserve">надається </w:t>
      </w:r>
      <w:r w:rsidR="006F5C86" w:rsidRPr="00D709EA">
        <w:rPr>
          <w:sz w:val="24"/>
          <w:szCs w:val="24"/>
          <w:lang w:val="uk-UA"/>
        </w:rPr>
        <w:t>право реалізувати конституційне право на житло</w:t>
      </w:r>
      <w:r w:rsidR="00486F42">
        <w:rPr>
          <w:sz w:val="24"/>
          <w:szCs w:val="24"/>
          <w:lang w:val="uk-UA"/>
        </w:rPr>
        <w:t>.</w:t>
      </w:r>
    </w:p>
    <w:p w:rsidR="006F5C86" w:rsidRPr="00D709EA" w:rsidRDefault="00486F42" w:rsidP="006F5C86">
      <w:pPr>
        <w:pStyle w:val="1"/>
        <w:spacing w:before="120" w:after="0" w:line="240" w:lineRule="auto"/>
        <w:ind w:left="0"/>
        <w:contextualSpacing w:val="0"/>
        <w:jc w:val="both"/>
        <w:rPr>
          <w:sz w:val="24"/>
          <w:szCs w:val="24"/>
          <w:lang w:val="uk-UA"/>
        </w:rPr>
      </w:pPr>
      <w:r>
        <w:rPr>
          <w:sz w:val="24"/>
          <w:szCs w:val="24"/>
          <w:lang w:val="uk-UA"/>
        </w:rPr>
        <w:t>По-друге, стверджується, що «ж</w:t>
      </w:r>
      <w:r w:rsidR="006F5C86" w:rsidRPr="00D709EA">
        <w:rPr>
          <w:sz w:val="24"/>
          <w:szCs w:val="24"/>
          <w:lang w:val="uk-UA"/>
        </w:rPr>
        <w:t xml:space="preserve">итлові приміщення у гуртожитках державної форми власності, в яких проживають громадяни, </w:t>
      </w:r>
      <w:r>
        <w:rPr>
          <w:sz w:val="24"/>
          <w:szCs w:val="24"/>
          <w:lang w:val="uk-UA"/>
        </w:rPr>
        <w:t xml:space="preserve">що </w:t>
      </w:r>
      <w:r w:rsidR="006F5C86" w:rsidRPr="00D709EA">
        <w:rPr>
          <w:sz w:val="24"/>
          <w:szCs w:val="24"/>
          <w:lang w:val="uk-UA"/>
        </w:rPr>
        <w:t>мають право реалізувати конституційне право на житло, можуть бути приватизовані цими громадянами без передачі цих гуртожитків у власність від</w:t>
      </w:r>
      <w:r>
        <w:rPr>
          <w:sz w:val="24"/>
          <w:szCs w:val="24"/>
          <w:lang w:val="uk-UA"/>
        </w:rPr>
        <w:t>повідної територіальної громади</w:t>
      </w:r>
      <w:r w:rsidR="006F5C86" w:rsidRPr="00D709EA">
        <w:rPr>
          <w:sz w:val="24"/>
          <w:szCs w:val="24"/>
          <w:lang w:val="uk-UA"/>
        </w:rPr>
        <w:t>»</w:t>
      </w:r>
      <w:r>
        <w:rPr>
          <w:sz w:val="24"/>
          <w:szCs w:val="24"/>
          <w:lang w:val="uk-UA"/>
        </w:rPr>
        <w:t>.</w:t>
      </w:r>
    </w:p>
    <w:p w:rsidR="00584FE3" w:rsidRPr="005D4B7A" w:rsidRDefault="00584FE3" w:rsidP="00584FE3">
      <w:pPr>
        <w:pStyle w:val="1"/>
        <w:numPr>
          <w:ilvl w:val="0"/>
          <w:numId w:val="2"/>
        </w:numPr>
        <w:spacing w:before="120" w:after="0" w:line="240" w:lineRule="auto"/>
        <w:ind w:left="0" w:right="-709" w:firstLine="0"/>
        <w:contextualSpacing w:val="0"/>
        <w:rPr>
          <w:sz w:val="26"/>
          <w:szCs w:val="24"/>
          <w:lang w:val="uk-UA"/>
        </w:rPr>
      </w:pPr>
      <w:r w:rsidRPr="005D4B7A">
        <w:rPr>
          <w:b/>
          <w:sz w:val="26"/>
          <w:szCs w:val="24"/>
          <w:lang w:val="uk-UA"/>
        </w:rPr>
        <w:t>Ризик створення корупційної схеми:</w:t>
      </w:r>
      <w:r>
        <w:rPr>
          <w:sz w:val="26"/>
          <w:szCs w:val="24"/>
          <w:lang w:val="uk-UA"/>
        </w:rPr>
        <w:t xml:space="preserve"> </w:t>
      </w:r>
      <w:r w:rsidRPr="005C3C4F">
        <w:rPr>
          <w:sz w:val="24"/>
          <w:szCs w:val="24"/>
          <w:lang w:val="uk-UA"/>
        </w:rPr>
        <w:t>наявний</w:t>
      </w:r>
      <w:r>
        <w:rPr>
          <w:sz w:val="26"/>
          <w:szCs w:val="24"/>
          <w:lang w:val="uk-UA"/>
        </w:rPr>
        <w:t xml:space="preserve"> </w:t>
      </w:r>
    </w:p>
    <w:p w:rsidR="00486F42" w:rsidRPr="006D51AB" w:rsidRDefault="00584FE3" w:rsidP="006D51AB">
      <w:pPr>
        <w:spacing w:before="120" w:after="0" w:line="240" w:lineRule="auto"/>
        <w:jc w:val="both"/>
        <w:rPr>
          <w:sz w:val="24"/>
          <w:szCs w:val="24"/>
          <w:shd w:val="clear" w:color="auto" w:fill="FFFFFF"/>
          <w:lang w:val="uk-UA"/>
        </w:rPr>
      </w:pPr>
      <w:r w:rsidRPr="005D4B7A">
        <w:rPr>
          <w:b/>
          <w:i/>
          <w:sz w:val="26"/>
          <w:szCs w:val="24"/>
          <w:lang w:val="uk-UA"/>
        </w:rPr>
        <w:t>Яким чином може працювати корупційна схема:</w:t>
      </w:r>
      <w:r>
        <w:rPr>
          <w:sz w:val="24"/>
          <w:szCs w:val="24"/>
          <w:lang w:val="uk-UA"/>
        </w:rPr>
        <w:t xml:space="preserve"> </w:t>
      </w:r>
      <w:r w:rsidR="006D51AB" w:rsidRPr="006D51AB">
        <w:rPr>
          <w:sz w:val="24"/>
          <w:szCs w:val="24"/>
          <w:shd w:val="clear" w:color="auto" w:fill="FFFFFF"/>
          <w:lang w:val="uk-UA"/>
        </w:rPr>
        <w:t>З</w:t>
      </w:r>
      <w:r w:rsidR="00486F42" w:rsidRPr="006D51AB">
        <w:rPr>
          <w:sz w:val="24"/>
          <w:szCs w:val="24"/>
          <w:shd w:val="clear" w:color="auto" w:fill="FFFFFF"/>
          <w:lang w:val="uk-UA"/>
        </w:rPr>
        <w:t xml:space="preserve">апропоновані </w:t>
      </w:r>
      <w:r w:rsidR="006D51AB" w:rsidRPr="006D51AB">
        <w:rPr>
          <w:sz w:val="24"/>
          <w:szCs w:val="24"/>
          <w:shd w:val="clear" w:color="auto" w:fill="FFFFFF"/>
          <w:lang w:val="uk-UA"/>
        </w:rPr>
        <w:t xml:space="preserve">зміни </w:t>
      </w:r>
      <w:r w:rsidR="00486F42" w:rsidRPr="006D51AB">
        <w:rPr>
          <w:sz w:val="24"/>
          <w:szCs w:val="24"/>
          <w:shd w:val="clear" w:color="auto" w:fill="FFFFFF"/>
          <w:lang w:val="uk-UA"/>
        </w:rPr>
        <w:t xml:space="preserve">призводять до </w:t>
      </w:r>
      <w:r w:rsidR="006D51AB">
        <w:rPr>
          <w:sz w:val="24"/>
          <w:szCs w:val="24"/>
          <w:shd w:val="clear" w:color="auto" w:fill="FFFFFF"/>
          <w:lang w:val="uk-UA"/>
        </w:rPr>
        <w:t>колізій в законодавстві.</w:t>
      </w:r>
      <w:r w:rsidR="00486F42" w:rsidRPr="006D51AB">
        <w:rPr>
          <w:sz w:val="24"/>
          <w:szCs w:val="24"/>
          <w:shd w:val="clear" w:color="auto" w:fill="FFFFFF"/>
          <w:lang w:val="uk-UA"/>
        </w:rPr>
        <w:t xml:space="preserve"> </w:t>
      </w:r>
      <w:r w:rsidR="006D51AB" w:rsidRPr="006D51AB">
        <w:rPr>
          <w:sz w:val="24"/>
          <w:szCs w:val="24"/>
          <w:shd w:val="clear" w:color="auto" w:fill="FFFFFF"/>
          <w:lang w:val="uk-UA"/>
        </w:rPr>
        <w:t>С</w:t>
      </w:r>
      <w:r w:rsidR="00486F42" w:rsidRPr="006D51AB">
        <w:rPr>
          <w:sz w:val="24"/>
          <w:szCs w:val="24"/>
          <w:shd w:val="clear" w:color="auto" w:fill="FFFFFF"/>
          <w:lang w:val="uk-UA"/>
        </w:rPr>
        <w:t>початку в законі йдеться про те, що на певні гуртожитки його дія не поширюється, а потім стверджується, що на деяких громадян, які проживають у цих гуртожитках, дія Закону все-таки поширюється, так само як і на окремі приміщення цих гуртожитків. Користуючись тим, що громадянам буде важко реалізувати задеклароване право, суб’єкти, уповноважені на вирішення приватизаційних питань в житловій сфері, можуть вимагати від них неправомірну вигоду.</w:t>
      </w:r>
    </w:p>
    <w:p w:rsidR="00584FE3" w:rsidRPr="001A4EB4" w:rsidRDefault="00584FE3" w:rsidP="00584FE3">
      <w:pPr>
        <w:spacing w:before="120" w:after="0" w:line="240" w:lineRule="auto"/>
        <w:jc w:val="both"/>
        <w:rPr>
          <w:sz w:val="24"/>
          <w:szCs w:val="24"/>
          <w:lang w:val="uk-UA"/>
        </w:rPr>
      </w:pPr>
      <w:r w:rsidRPr="005D4B7A">
        <w:rPr>
          <w:b/>
          <w:i/>
          <w:sz w:val="26"/>
          <w:szCs w:val="24"/>
          <w:lang w:val="uk-UA"/>
        </w:rPr>
        <w:t>Хто може отримувати корупційну вигоду:</w:t>
      </w:r>
      <w:r w:rsidRPr="005D4B7A">
        <w:rPr>
          <w:sz w:val="26"/>
          <w:szCs w:val="24"/>
          <w:lang w:val="uk-UA"/>
        </w:rPr>
        <w:t xml:space="preserve"> </w:t>
      </w:r>
      <w:r w:rsidR="006D51AB">
        <w:rPr>
          <w:sz w:val="24"/>
          <w:szCs w:val="24"/>
          <w:lang w:val="uk-UA"/>
        </w:rPr>
        <w:t>Посадові особи органів приватизації житла.</w:t>
      </w:r>
    </w:p>
    <w:p w:rsidR="00584FE3" w:rsidRPr="005D4B7A" w:rsidRDefault="00584FE3" w:rsidP="00584FE3">
      <w:pPr>
        <w:spacing w:before="120" w:after="0" w:line="240" w:lineRule="auto"/>
        <w:jc w:val="both"/>
        <w:rPr>
          <w:sz w:val="26"/>
          <w:szCs w:val="24"/>
          <w:lang w:val="uk-UA"/>
        </w:rPr>
      </w:pPr>
      <w:r w:rsidRPr="005D4B7A">
        <w:rPr>
          <w:b/>
          <w:i/>
          <w:sz w:val="26"/>
          <w:szCs w:val="24"/>
          <w:lang w:val="uk-UA"/>
        </w:rPr>
        <w:t>Оцінка обсягу корупційної вигоди:</w:t>
      </w:r>
      <w:r w:rsidRPr="005D4B7A">
        <w:rPr>
          <w:sz w:val="26"/>
          <w:szCs w:val="24"/>
          <w:lang w:val="uk-UA"/>
        </w:rPr>
        <w:t xml:space="preserve"> </w:t>
      </w:r>
      <w:r w:rsidRPr="008F0ADC">
        <w:rPr>
          <w:sz w:val="24"/>
          <w:szCs w:val="24"/>
          <w:lang w:val="uk-UA"/>
        </w:rPr>
        <w:t>на стадії оцінки</w:t>
      </w:r>
      <w:r w:rsidRPr="005D4B7A">
        <w:rPr>
          <w:sz w:val="26"/>
          <w:szCs w:val="24"/>
          <w:lang w:val="uk-UA"/>
        </w:rPr>
        <w:t xml:space="preserve">  </w:t>
      </w:r>
    </w:p>
    <w:p w:rsidR="00584FE3" w:rsidRPr="006D51AB" w:rsidRDefault="00584FE3" w:rsidP="00584FE3">
      <w:pPr>
        <w:spacing w:before="120" w:after="0" w:line="240" w:lineRule="auto"/>
        <w:jc w:val="both"/>
        <w:rPr>
          <w:sz w:val="24"/>
          <w:szCs w:val="24"/>
          <w:lang w:val="uk-UA"/>
        </w:rPr>
      </w:pPr>
      <w:r w:rsidRPr="005D4B7A">
        <w:rPr>
          <w:b/>
          <w:i/>
          <w:sz w:val="26"/>
          <w:szCs w:val="24"/>
          <w:lang w:val="uk-UA"/>
        </w:rPr>
        <w:t>Хто платитиме корупційні внески:</w:t>
      </w:r>
      <w:r w:rsidRPr="00367AAC">
        <w:rPr>
          <w:sz w:val="24"/>
          <w:szCs w:val="24"/>
          <w:lang w:val="uk-UA"/>
        </w:rPr>
        <w:t xml:space="preserve"> </w:t>
      </w:r>
      <w:r w:rsidR="006D51AB" w:rsidRPr="006D51AB">
        <w:rPr>
          <w:sz w:val="24"/>
          <w:szCs w:val="24"/>
          <w:lang w:val="uk-UA"/>
        </w:rPr>
        <w:t xml:space="preserve">Громадяни, зацікавлені в приватизації житлових приміщень гуртожитків, </w:t>
      </w:r>
      <w:r w:rsidR="006D51AB" w:rsidRPr="006D51AB">
        <w:rPr>
          <w:sz w:val="24"/>
          <w:szCs w:val="24"/>
          <w:shd w:val="clear" w:color="auto" w:fill="FFFFFF"/>
          <w:lang w:val="uk-UA"/>
        </w:rPr>
        <w:t>які перебувають у господарському віданні чи в оперативному управлінні військових частин, закладів, установ та організацій Збройних Сил України, Міністерства внутрішніх справ України та державних навчальних закладів.</w:t>
      </w:r>
    </w:p>
    <w:p w:rsidR="00584FE3" w:rsidRPr="005D4B7A" w:rsidRDefault="00584FE3" w:rsidP="00584FE3">
      <w:pPr>
        <w:pStyle w:val="1"/>
        <w:numPr>
          <w:ilvl w:val="0"/>
          <w:numId w:val="2"/>
        </w:numPr>
        <w:spacing w:before="120" w:after="0" w:line="240" w:lineRule="auto"/>
        <w:ind w:left="0" w:right="-711" w:firstLine="0"/>
        <w:rPr>
          <w:b/>
          <w:sz w:val="26"/>
          <w:szCs w:val="24"/>
          <w:lang w:val="uk-UA"/>
        </w:rPr>
      </w:pPr>
      <w:r w:rsidRPr="005D4B7A">
        <w:rPr>
          <w:b/>
          <w:sz w:val="26"/>
          <w:szCs w:val="24"/>
          <w:lang w:val="uk-UA"/>
        </w:rPr>
        <w:t xml:space="preserve">Втрати та жертви </w:t>
      </w:r>
    </w:p>
    <w:p w:rsidR="00584FE3" w:rsidRDefault="00584FE3" w:rsidP="00584FE3">
      <w:pPr>
        <w:spacing w:before="120" w:after="0" w:line="240" w:lineRule="auto"/>
        <w:jc w:val="both"/>
        <w:rPr>
          <w:sz w:val="24"/>
          <w:szCs w:val="24"/>
          <w:lang w:val="uk-UA"/>
        </w:rPr>
      </w:pPr>
      <w:r w:rsidRPr="008F0ADC">
        <w:rPr>
          <w:sz w:val="24"/>
          <w:szCs w:val="24"/>
          <w:lang w:val="uk-UA"/>
        </w:rPr>
        <w:t xml:space="preserve">Ключові </w:t>
      </w:r>
      <w:r w:rsidRPr="008F0ADC">
        <w:rPr>
          <w:b/>
          <w:i/>
          <w:sz w:val="24"/>
          <w:szCs w:val="24"/>
          <w:lang w:val="uk-UA"/>
        </w:rPr>
        <w:t>негативні наслідки</w:t>
      </w:r>
      <w:r w:rsidRPr="008F0ADC">
        <w:rPr>
          <w:sz w:val="24"/>
          <w:szCs w:val="24"/>
          <w:lang w:val="uk-UA"/>
        </w:rPr>
        <w:t xml:space="preserve">: </w:t>
      </w:r>
    </w:p>
    <w:p w:rsidR="00584FE3" w:rsidRPr="009460CE" w:rsidRDefault="006D51AB" w:rsidP="00584FE3">
      <w:pPr>
        <w:spacing w:before="120" w:after="0" w:line="240" w:lineRule="auto"/>
        <w:jc w:val="both"/>
        <w:rPr>
          <w:sz w:val="24"/>
          <w:szCs w:val="24"/>
          <w:lang w:val="uk-UA"/>
        </w:rPr>
      </w:pPr>
      <w:r w:rsidRPr="009460CE">
        <w:rPr>
          <w:sz w:val="24"/>
          <w:szCs w:val="24"/>
          <w:shd w:val="clear" w:color="auto" w:fill="FFFFFF"/>
          <w:lang w:val="uk-UA"/>
        </w:rPr>
        <w:t>Зазначені колізії можуть створити ситуацію, при якій на підставі одних норм громадяни матимуть право на приватизацію житла, а на підставі інших норм їм у реалізації цього права будуть відмовляти, вимагаючи неправомірну вигоду за вирішення приватизаційних питань на їхню користь.</w:t>
      </w:r>
    </w:p>
    <w:p w:rsidR="009460CE" w:rsidRPr="009460CE" w:rsidRDefault="00584FE3" w:rsidP="009460CE">
      <w:pPr>
        <w:pStyle w:val="1"/>
        <w:spacing w:before="120" w:after="0" w:line="240" w:lineRule="auto"/>
        <w:ind w:left="0"/>
        <w:jc w:val="both"/>
        <w:rPr>
          <w:sz w:val="24"/>
          <w:szCs w:val="24"/>
          <w:lang w:val="uk-UA"/>
        </w:rPr>
      </w:pPr>
      <w:r w:rsidRPr="009460CE">
        <w:rPr>
          <w:b/>
          <w:i/>
          <w:sz w:val="24"/>
          <w:szCs w:val="24"/>
          <w:lang w:val="uk-UA"/>
        </w:rPr>
        <w:t>Хто може потерпати від корупційної схеми:</w:t>
      </w:r>
      <w:r w:rsidRPr="009460CE">
        <w:rPr>
          <w:sz w:val="24"/>
          <w:szCs w:val="24"/>
          <w:lang w:val="uk-UA"/>
        </w:rPr>
        <w:t xml:space="preserve"> </w:t>
      </w:r>
      <w:r w:rsidR="009460CE" w:rsidRPr="009460CE">
        <w:rPr>
          <w:sz w:val="24"/>
          <w:szCs w:val="24"/>
          <w:lang w:val="uk-UA"/>
        </w:rPr>
        <w:t xml:space="preserve">Громадяни, зацікавлені в приватизації житлових приміщень гуртожитків, </w:t>
      </w:r>
      <w:r w:rsidR="009460CE" w:rsidRPr="009460CE">
        <w:rPr>
          <w:sz w:val="24"/>
          <w:szCs w:val="24"/>
          <w:shd w:val="clear" w:color="auto" w:fill="FFFFFF"/>
          <w:lang w:val="uk-UA"/>
        </w:rPr>
        <w:t>які перебувають у господарському віданні чи в оперативному управлінні військових частин тощо</w:t>
      </w:r>
    </w:p>
    <w:p w:rsidR="00584FE3" w:rsidRDefault="00584FE3" w:rsidP="00584FE3">
      <w:pPr>
        <w:pStyle w:val="1"/>
        <w:numPr>
          <w:ilvl w:val="0"/>
          <w:numId w:val="2"/>
        </w:numPr>
        <w:spacing w:before="120" w:after="0" w:line="240" w:lineRule="auto"/>
        <w:ind w:left="0" w:firstLine="0"/>
        <w:contextualSpacing w:val="0"/>
        <w:jc w:val="both"/>
        <w:rPr>
          <w:sz w:val="26"/>
          <w:szCs w:val="24"/>
          <w:lang w:val="uk-UA"/>
        </w:rPr>
      </w:pPr>
      <w:r w:rsidRPr="005D4B7A">
        <w:rPr>
          <w:b/>
          <w:sz w:val="26"/>
          <w:szCs w:val="24"/>
          <w:lang w:val="uk-UA"/>
        </w:rPr>
        <w:t>Висновки та рекомендації:</w:t>
      </w:r>
      <w:r w:rsidRPr="005D4B7A">
        <w:rPr>
          <w:sz w:val="26"/>
          <w:szCs w:val="24"/>
          <w:lang w:val="uk-UA"/>
        </w:rPr>
        <w:t xml:space="preserve"> </w:t>
      </w:r>
    </w:p>
    <w:p w:rsidR="009460CE" w:rsidRDefault="009460CE" w:rsidP="00584FE3">
      <w:pPr>
        <w:pStyle w:val="1"/>
        <w:spacing w:before="120" w:after="0" w:line="240" w:lineRule="auto"/>
        <w:ind w:left="0"/>
        <w:contextualSpacing w:val="0"/>
        <w:jc w:val="both"/>
        <w:rPr>
          <w:sz w:val="24"/>
          <w:szCs w:val="24"/>
          <w:lang w:val="uk-UA"/>
        </w:rPr>
      </w:pPr>
      <w:r>
        <w:rPr>
          <w:sz w:val="24"/>
          <w:szCs w:val="24"/>
          <w:lang w:val="uk-UA"/>
        </w:rPr>
        <w:t xml:space="preserve">Доопрацювати за результатами розгляду в першому читанні. </w:t>
      </w:r>
    </w:p>
    <w:p w:rsidR="00584FE3" w:rsidRPr="00271BF1" w:rsidRDefault="00584FE3" w:rsidP="00584FE3">
      <w:pPr>
        <w:pBdr>
          <w:top w:val="single" w:sz="4" w:space="1" w:color="auto"/>
          <w:left w:val="single" w:sz="4" w:space="4" w:color="auto"/>
          <w:bottom w:val="single" w:sz="4" w:space="1" w:color="auto"/>
          <w:right w:val="single" w:sz="4" w:space="4" w:color="auto"/>
        </w:pBdr>
        <w:rPr>
          <w:b/>
          <w:sz w:val="26"/>
          <w:szCs w:val="26"/>
          <w:lang w:val="uk-UA"/>
        </w:rPr>
      </w:pPr>
      <w:r w:rsidRPr="00271BF1">
        <w:rPr>
          <w:b/>
          <w:sz w:val="26"/>
          <w:szCs w:val="26"/>
          <w:lang w:val="uk-UA"/>
        </w:rPr>
        <w:lastRenderedPageBreak/>
        <w:t>ІІ. Детальний виклад результатів громадської антикорупційної експертизи</w:t>
      </w:r>
    </w:p>
    <w:p w:rsidR="00584FE3" w:rsidRDefault="00584FE3" w:rsidP="00584FE3">
      <w:pPr>
        <w:pStyle w:val="1"/>
        <w:numPr>
          <w:ilvl w:val="0"/>
          <w:numId w:val="2"/>
        </w:numPr>
        <w:spacing w:after="120" w:line="240" w:lineRule="auto"/>
        <w:ind w:left="714" w:hanging="357"/>
        <w:contextualSpacing w:val="0"/>
        <w:rPr>
          <w:b/>
          <w:sz w:val="24"/>
          <w:szCs w:val="24"/>
          <w:lang w:val="uk-UA"/>
        </w:rPr>
      </w:pPr>
      <w:r w:rsidRPr="001E2478">
        <w:rPr>
          <w:b/>
          <w:sz w:val="24"/>
          <w:szCs w:val="24"/>
          <w:lang w:val="uk-UA"/>
        </w:rPr>
        <w:t xml:space="preserve">Задекларована суть законопроекту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2"/>
        <w:gridCol w:w="4929"/>
      </w:tblGrid>
      <w:tr w:rsidR="00584FE3" w:rsidRPr="00B9319E" w:rsidTr="009460CE">
        <w:tc>
          <w:tcPr>
            <w:tcW w:w="4642" w:type="dxa"/>
          </w:tcPr>
          <w:p w:rsidR="00584FE3" w:rsidRPr="00B9319E" w:rsidRDefault="00584FE3" w:rsidP="006D51AB">
            <w:pPr>
              <w:spacing w:after="0" w:line="240" w:lineRule="auto"/>
              <w:jc w:val="center"/>
              <w:rPr>
                <w:b/>
                <w:i/>
                <w:sz w:val="24"/>
                <w:szCs w:val="24"/>
                <w:lang w:val="uk-UA"/>
              </w:rPr>
            </w:pPr>
            <w:r w:rsidRPr="00B9319E">
              <w:rPr>
                <w:b/>
                <w:i/>
                <w:sz w:val="24"/>
                <w:szCs w:val="24"/>
                <w:lang w:val="uk-UA"/>
              </w:rPr>
              <w:t>Ціль</w:t>
            </w:r>
          </w:p>
        </w:tc>
        <w:tc>
          <w:tcPr>
            <w:tcW w:w="4929" w:type="dxa"/>
          </w:tcPr>
          <w:p w:rsidR="00584FE3" w:rsidRPr="00B9319E" w:rsidRDefault="00584FE3" w:rsidP="006D51AB">
            <w:pPr>
              <w:spacing w:after="0" w:line="240" w:lineRule="auto"/>
              <w:jc w:val="center"/>
              <w:rPr>
                <w:b/>
                <w:i/>
                <w:sz w:val="24"/>
                <w:szCs w:val="24"/>
                <w:lang w:val="uk-UA"/>
              </w:rPr>
            </w:pPr>
            <w:r w:rsidRPr="00B9319E">
              <w:rPr>
                <w:b/>
                <w:i/>
                <w:sz w:val="24"/>
                <w:szCs w:val="24"/>
                <w:lang w:val="uk-UA"/>
              </w:rPr>
              <w:t>Спосіб досягнення</w:t>
            </w:r>
          </w:p>
        </w:tc>
      </w:tr>
      <w:tr w:rsidR="009460CE" w:rsidRPr="00AE24E2" w:rsidTr="009460CE">
        <w:tc>
          <w:tcPr>
            <w:tcW w:w="4642" w:type="dxa"/>
          </w:tcPr>
          <w:p w:rsidR="009460CE" w:rsidRPr="00AE24E2" w:rsidRDefault="009460CE" w:rsidP="00EE45D5">
            <w:pPr>
              <w:spacing w:before="120" w:after="0" w:line="240" w:lineRule="auto"/>
              <w:jc w:val="both"/>
              <w:rPr>
                <w:sz w:val="24"/>
                <w:szCs w:val="24"/>
                <w:lang w:val="uk-UA"/>
              </w:rPr>
            </w:pPr>
            <w:r w:rsidRPr="00AE24E2">
              <w:rPr>
                <w:sz w:val="24"/>
                <w:szCs w:val="24"/>
                <w:lang w:val="uk-UA"/>
              </w:rPr>
              <w:t>Законопроект розроблено з метою забезпечення конституційних прав громадян на житло та поліпшення житлових умов працівників та пенсіонерів з числа колишніх працівників військових частин, закладів, установ та організацій Збройних Сил України, інших військових формувань, утворених відповідно до закону, Міністерства внутрішніх справ України та державних навчальних закладів.</w:t>
            </w:r>
          </w:p>
        </w:tc>
        <w:tc>
          <w:tcPr>
            <w:tcW w:w="4929" w:type="dxa"/>
          </w:tcPr>
          <w:p w:rsidR="009460CE" w:rsidRPr="00AE24E2" w:rsidRDefault="009460CE" w:rsidP="00EE45D5">
            <w:pPr>
              <w:tabs>
                <w:tab w:val="left" w:pos="700"/>
              </w:tabs>
              <w:spacing w:after="0" w:line="240" w:lineRule="auto"/>
              <w:jc w:val="both"/>
              <w:rPr>
                <w:sz w:val="24"/>
                <w:szCs w:val="24"/>
                <w:lang w:val="uk-UA"/>
              </w:rPr>
            </w:pPr>
            <w:r>
              <w:rPr>
                <w:sz w:val="24"/>
                <w:szCs w:val="24"/>
                <w:lang w:val="uk-UA"/>
              </w:rPr>
              <w:t>В</w:t>
            </w:r>
            <w:r w:rsidRPr="00AE24E2">
              <w:rPr>
                <w:sz w:val="24"/>
                <w:szCs w:val="24"/>
                <w:lang w:val="uk-UA"/>
              </w:rPr>
              <w:t>несення змін до частини третьої статті 1 Закону України «Про забезпечення реалізації житлових прав мешканців гуртожитків» шляхом доповнення її новим реченням такого змісту:</w:t>
            </w:r>
          </w:p>
          <w:p w:rsidR="009460CE" w:rsidRPr="00AE24E2" w:rsidRDefault="009460CE" w:rsidP="00EE45D5">
            <w:pPr>
              <w:tabs>
                <w:tab w:val="left" w:pos="700"/>
              </w:tabs>
              <w:spacing w:after="0" w:line="240" w:lineRule="auto"/>
              <w:jc w:val="both"/>
              <w:rPr>
                <w:sz w:val="24"/>
                <w:szCs w:val="24"/>
                <w:lang w:val="uk-UA"/>
              </w:rPr>
            </w:pPr>
            <w:r w:rsidRPr="00AE24E2">
              <w:rPr>
                <w:sz w:val="24"/>
                <w:szCs w:val="24"/>
                <w:lang w:val="uk-UA"/>
              </w:rPr>
              <w:t>«Громадяни, які проживають у гуртожитках, що перебувають у господарському віданні чи в оперативному управлінні військових частин, закладів, установ та організацій Збройних Сил України, інших військових формувань, утворених відповідно до закону, Міністерства внутрішніх справ України та державних навчальних закладів, на яких поширюється сфера дії цього Закону відповідно до частини першої цієї статті та які не належать до категорій громадян, на яких не поширюється сфера дії цього Закону відповідно до частини другої цієї статті, мають право реалізувати конституційне право на житло відповідно до цього Закону».</w:t>
            </w:r>
          </w:p>
          <w:p w:rsidR="009460CE" w:rsidRPr="00AE24E2" w:rsidRDefault="009460CE" w:rsidP="00EE45D5">
            <w:pPr>
              <w:tabs>
                <w:tab w:val="left" w:pos="700"/>
              </w:tabs>
              <w:spacing w:after="0" w:line="240" w:lineRule="auto"/>
              <w:jc w:val="both"/>
              <w:rPr>
                <w:sz w:val="24"/>
                <w:szCs w:val="24"/>
                <w:lang w:val="uk-UA"/>
              </w:rPr>
            </w:pPr>
            <w:r w:rsidRPr="00AE24E2">
              <w:rPr>
                <w:sz w:val="24"/>
                <w:szCs w:val="24"/>
                <w:lang w:val="uk-UA"/>
              </w:rPr>
              <w:t>Окрім цього, частину другу статті 4 пропонується доповнити новим абзацом такого змісту:</w:t>
            </w:r>
          </w:p>
          <w:p w:rsidR="009460CE" w:rsidRPr="00AE24E2" w:rsidRDefault="009460CE" w:rsidP="00EE45D5">
            <w:pPr>
              <w:tabs>
                <w:tab w:val="left" w:pos="700"/>
              </w:tabs>
              <w:spacing w:after="0" w:line="240" w:lineRule="auto"/>
              <w:jc w:val="both"/>
              <w:rPr>
                <w:sz w:val="24"/>
                <w:szCs w:val="24"/>
                <w:lang w:val="uk-UA"/>
              </w:rPr>
            </w:pPr>
            <w:r w:rsidRPr="00AE24E2">
              <w:rPr>
                <w:sz w:val="24"/>
                <w:szCs w:val="24"/>
                <w:lang w:val="uk-UA"/>
              </w:rPr>
              <w:t>«Житлові приміщення у гуртожитках державної форми власності, в яких проживають громадяни, що відповідно до частини третьої статті 1 цього Закону мають право реалізувати конституційне право на житло відповідно до цього Закону, можуть бути приватизовані цими громадянами без передачі цих гуртожитків у власність від</w:t>
            </w:r>
            <w:r>
              <w:rPr>
                <w:sz w:val="24"/>
                <w:szCs w:val="24"/>
                <w:lang w:val="uk-UA"/>
              </w:rPr>
              <w:t>повідної територіальної громади</w:t>
            </w:r>
            <w:r w:rsidRPr="00AE24E2">
              <w:rPr>
                <w:sz w:val="24"/>
                <w:szCs w:val="24"/>
                <w:lang w:val="uk-UA"/>
              </w:rPr>
              <w:t>»</w:t>
            </w:r>
          </w:p>
        </w:tc>
      </w:tr>
    </w:tbl>
    <w:p w:rsidR="00584FE3" w:rsidRDefault="00584FE3" w:rsidP="00584FE3">
      <w:pPr>
        <w:pStyle w:val="1"/>
        <w:numPr>
          <w:ilvl w:val="0"/>
          <w:numId w:val="2"/>
        </w:numPr>
        <w:spacing w:before="120" w:after="120" w:line="240" w:lineRule="auto"/>
        <w:ind w:left="714" w:hanging="357"/>
        <w:contextualSpacing w:val="0"/>
        <w:rPr>
          <w:b/>
          <w:sz w:val="24"/>
          <w:szCs w:val="24"/>
          <w:lang w:val="uk-UA"/>
        </w:rPr>
      </w:pPr>
      <w:proofErr w:type="spellStart"/>
      <w:r w:rsidRPr="001E2478">
        <w:rPr>
          <w:b/>
          <w:sz w:val="24"/>
          <w:szCs w:val="24"/>
          <w:lang w:val="uk-UA"/>
        </w:rPr>
        <w:t>Корупціогенні</w:t>
      </w:r>
      <w:proofErr w:type="spellEnd"/>
      <w:r w:rsidRPr="001E2478">
        <w:rPr>
          <w:b/>
          <w:sz w:val="24"/>
          <w:szCs w:val="24"/>
          <w:lang w:val="uk-UA"/>
        </w:rPr>
        <w:t xml:space="preserve"> чинники та норм</w:t>
      </w:r>
    </w:p>
    <w:tbl>
      <w:tblPr>
        <w:tblW w:w="0" w:type="auto"/>
        <w:tblBorders>
          <w:top w:val="single" w:sz="8" w:space="0" w:color="000000"/>
          <w:bottom w:val="single" w:sz="8" w:space="0" w:color="000000"/>
        </w:tblBorders>
        <w:tblLook w:val="00A0"/>
      </w:tblPr>
      <w:tblGrid>
        <w:gridCol w:w="402"/>
        <w:gridCol w:w="6936"/>
        <w:gridCol w:w="2233"/>
      </w:tblGrid>
      <w:tr w:rsidR="00584FE3" w:rsidRPr="00B9319E" w:rsidTr="006D51AB">
        <w:tc>
          <w:tcPr>
            <w:tcW w:w="402" w:type="dxa"/>
            <w:tcBorders>
              <w:top w:val="single" w:sz="8" w:space="0" w:color="000000"/>
              <w:left w:val="nil"/>
              <w:bottom w:val="single" w:sz="8" w:space="0" w:color="000000"/>
              <w:right w:val="nil"/>
            </w:tcBorders>
          </w:tcPr>
          <w:p w:rsidR="00584FE3" w:rsidRPr="00B9319E" w:rsidRDefault="00584FE3" w:rsidP="006D51AB">
            <w:pPr>
              <w:spacing w:after="0" w:line="240" w:lineRule="auto"/>
              <w:jc w:val="center"/>
              <w:rPr>
                <w:b/>
                <w:bCs/>
                <w:i/>
                <w:color w:val="000000"/>
                <w:sz w:val="24"/>
                <w:szCs w:val="24"/>
                <w:lang w:val="uk-UA"/>
              </w:rPr>
            </w:pPr>
          </w:p>
        </w:tc>
        <w:tc>
          <w:tcPr>
            <w:tcW w:w="6936" w:type="dxa"/>
            <w:tcBorders>
              <w:top w:val="single" w:sz="8" w:space="0" w:color="000000"/>
              <w:left w:val="nil"/>
              <w:bottom w:val="single" w:sz="8" w:space="0" w:color="000000"/>
              <w:right w:val="nil"/>
            </w:tcBorders>
          </w:tcPr>
          <w:p w:rsidR="00584FE3" w:rsidRPr="00B9319E" w:rsidRDefault="00584FE3" w:rsidP="006D51AB">
            <w:pPr>
              <w:spacing w:after="0" w:line="240" w:lineRule="auto"/>
              <w:jc w:val="center"/>
              <w:rPr>
                <w:b/>
                <w:bCs/>
                <w:i/>
                <w:color w:val="000000"/>
                <w:sz w:val="24"/>
                <w:szCs w:val="24"/>
                <w:lang w:val="uk-UA"/>
              </w:rPr>
            </w:pPr>
            <w:proofErr w:type="spellStart"/>
            <w:r w:rsidRPr="00B9319E">
              <w:rPr>
                <w:b/>
                <w:bCs/>
                <w:i/>
                <w:color w:val="000000"/>
                <w:sz w:val="24"/>
                <w:szCs w:val="24"/>
                <w:lang w:val="uk-UA"/>
              </w:rPr>
              <w:t>Корупціогенний</w:t>
            </w:r>
            <w:proofErr w:type="spellEnd"/>
            <w:r w:rsidRPr="00B9319E">
              <w:rPr>
                <w:b/>
                <w:bCs/>
                <w:i/>
                <w:color w:val="000000"/>
                <w:sz w:val="24"/>
                <w:szCs w:val="24"/>
                <w:lang w:val="uk-UA"/>
              </w:rPr>
              <w:t xml:space="preserve"> чинник</w:t>
            </w:r>
          </w:p>
        </w:tc>
        <w:tc>
          <w:tcPr>
            <w:tcW w:w="2233" w:type="dxa"/>
            <w:tcBorders>
              <w:top w:val="single" w:sz="8" w:space="0" w:color="000000"/>
              <w:left w:val="nil"/>
              <w:bottom w:val="single" w:sz="8" w:space="0" w:color="000000"/>
              <w:right w:val="nil"/>
            </w:tcBorders>
          </w:tcPr>
          <w:p w:rsidR="00584FE3" w:rsidRPr="00B9319E" w:rsidRDefault="00584FE3" w:rsidP="006D51AB">
            <w:pPr>
              <w:spacing w:after="0" w:line="240" w:lineRule="auto"/>
              <w:jc w:val="center"/>
              <w:rPr>
                <w:b/>
                <w:bCs/>
                <w:i/>
                <w:color w:val="000000"/>
                <w:sz w:val="24"/>
                <w:szCs w:val="24"/>
                <w:lang w:val="uk-UA"/>
              </w:rPr>
            </w:pPr>
            <w:r w:rsidRPr="00B9319E">
              <w:rPr>
                <w:b/>
                <w:bCs/>
                <w:i/>
                <w:color w:val="000000"/>
                <w:sz w:val="24"/>
                <w:szCs w:val="24"/>
                <w:lang w:val="uk-UA"/>
              </w:rPr>
              <w:t>Кількість норм</w:t>
            </w:r>
          </w:p>
        </w:tc>
      </w:tr>
      <w:tr w:rsidR="00584FE3" w:rsidRPr="00B9319E" w:rsidTr="006D51AB">
        <w:tc>
          <w:tcPr>
            <w:tcW w:w="402" w:type="dxa"/>
            <w:tcBorders>
              <w:left w:val="nil"/>
              <w:right w:val="nil"/>
            </w:tcBorders>
            <w:shd w:val="clear" w:color="auto" w:fill="C0C0C0"/>
          </w:tcPr>
          <w:p w:rsidR="00584FE3" w:rsidRPr="00B9319E" w:rsidRDefault="00584FE3" w:rsidP="006D51AB">
            <w:pPr>
              <w:spacing w:after="0" w:line="240" w:lineRule="auto"/>
              <w:rPr>
                <w:b/>
                <w:bCs/>
                <w:color w:val="000000"/>
                <w:sz w:val="24"/>
                <w:szCs w:val="24"/>
                <w:lang w:val="uk-UA"/>
              </w:rPr>
            </w:pPr>
            <w:r w:rsidRPr="00B9319E">
              <w:rPr>
                <w:bCs/>
                <w:color w:val="000000"/>
                <w:sz w:val="24"/>
                <w:szCs w:val="24"/>
                <w:lang w:val="uk-UA"/>
              </w:rPr>
              <w:t>1.</w:t>
            </w:r>
          </w:p>
        </w:tc>
        <w:tc>
          <w:tcPr>
            <w:tcW w:w="6936" w:type="dxa"/>
            <w:tcBorders>
              <w:left w:val="nil"/>
              <w:right w:val="nil"/>
            </w:tcBorders>
            <w:shd w:val="clear" w:color="auto" w:fill="C0C0C0"/>
          </w:tcPr>
          <w:p w:rsidR="00584FE3" w:rsidRPr="00B9319E" w:rsidRDefault="00584FE3" w:rsidP="006D51AB">
            <w:pPr>
              <w:spacing w:after="0" w:line="240" w:lineRule="auto"/>
              <w:rPr>
                <w:color w:val="000000"/>
                <w:sz w:val="24"/>
                <w:szCs w:val="24"/>
                <w:lang w:val="uk-UA"/>
              </w:rPr>
            </w:pPr>
            <w:r w:rsidRPr="00B9319E">
              <w:rPr>
                <w:color w:val="000000"/>
                <w:sz w:val="24"/>
                <w:szCs w:val="24"/>
                <w:lang w:val="uk-UA"/>
              </w:rPr>
              <w:t>Широта адміністративного розсуду та дискреційні повноваження (нечітке визначення функцій, прав, обов'язків і відповідальності органів влади)</w:t>
            </w:r>
          </w:p>
        </w:tc>
        <w:tc>
          <w:tcPr>
            <w:tcW w:w="2233" w:type="dxa"/>
            <w:tcBorders>
              <w:left w:val="nil"/>
              <w:right w:val="nil"/>
            </w:tcBorders>
            <w:shd w:val="clear" w:color="auto" w:fill="C0C0C0"/>
          </w:tcPr>
          <w:p w:rsidR="00584FE3" w:rsidRPr="00B9319E" w:rsidRDefault="00584FE3" w:rsidP="006D51AB">
            <w:pPr>
              <w:spacing w:after="0" w:line="240" w:lineRule="auto"/>
              <w:jc w:val="center"/>
              <w:rPr>
                <w:color w:val="000000"/>
                <w:sz w:val="24"/>
                <w:szCs w:val="24"/>
                <w:lang w:val="uk-UA"/>
              </w:rPr>
            </w:pPr>
            <w:r>
              <w:rPr>
                <w:color w:val="000000"/>
                <w:sz w:val="24"/>
                <w:szCs w:val="24"/>
                <w:lang w:val="uk-UA"/>
              </w:rPr>
              <w:t>Не виявлено</w:t>
            </w:r>
          </w:p>
        </w:tc>
      </w:tr>
      <w:tr w:rsidR="00584FE3" w:rsidRPr="00B9319E" w:rsidTr="006D51AB">
        <w:tc>
          <w:tcPr>
            <w:tcW w:w="402" w:type="dxa"/>
          </w:tcPr>
          <w:p w:rsidR="00584FE3" w:rsidRPr="00B9319E" w:rsidRDefault="00584FE3" w:rsidP="006D51AB">
            <w:pPr>
              <w:spacing w:after="0" w:line="240" w:lineRule="auto"/>
              <w:rPr>
                <w:b/>
                <w:bCs/>
                <w:color w:val="000000"/>
                <w:sz w:val="24"/>
                <w:szCs w:val="24"/>
                <w:lang w:val="uk-UA"/>
              </w:rPr>
            </w:pPr>
            <w:r w:rsidRPr="00B9319E">
              <w:rPr>
                <w:bCs/>
                <w:color w:val="000000"/>
                <w:sz w:val="24"/>
                <w:szCs w:val="24"/>
                <w:lang w:val="uk-UA"/>
              </w:rPr>
              <w:t>2.</w:t>
            </w:r>
          </w:p>
        </w:tc>
        <w:tc>
          <w:tcPr>
            <w:tcW w:w="6936" w:type="dxa"/>
          </w:tcPr>
          <w:p w:rsidR="00584FE3" w:rsidRPr="00B9319E" w:rsidRDefault="00584FE3" w:rsidP="006D51AB">
            <w:pPr>
              <w:spacing w:after="0" w:line="240" w:lineRule="auto"/>
              <w:rPr>
                <w:color w:val="000000"/>
                <w:sz w:val="24"/>
                <w:szCs w:val="24"/>
                <w:lang w:val="uk-UA"/>
              </w:rPr>
            </w:pPr>
            <w:r w:rsidRPr="00B9319E">
              <w:rPr>
                <w:color w:val="000000"/>
                <w:sz w:val="24"/>
                <w:szCs w:val="24"/>
                <w:lang w:val="uk-UA"/>
              </w:rPr>
              <w:t>Порушення балансу інтересів та надмірні обтяження для одержувачів публічних послуг</w:t>
            </w:r>
          </w:p>
        </w:tc>
        <w:tc>
          <w:tcPr>
            <w:tcW w:w="2233" w:type="dxa"/>
          </w:tcPr>
          <w:p w:rsidR="00584FE3" w:rsidRPr="00B9319E" w:rsidRDefault="00584FE3" w:rsidP="006D51AB">
            <w:pPr>
              <w:spacing w:after="0" w:line="240" w:lineRule="auto"/>
              <w:jc w:val="center"/>
              <w:rPr>
                <w:color w:val="000000"/>
                <w:sz w:val="24"/>
                <w:szCs w:val="24"/>
                <w:lang w:val="uk-UA"/>
              </w:rPr>
            </w:pPr>
            <w:r>
              <w:rPr>
                <w:color w:val="000000"/>
                <w:sz w:val="24"/>
                <w:szCs w:val="24"/>
                <w:lang w:val="uk-UA"/>
              </w:rPr>
              <w:t xml:space="preserve">Не виявлено </w:t>
            </w:r>
          </w:p>
        </w:tc>
      </w:tr>
      <w:tr w:rsidR="00584FE3" w:rsidRPr="00B9319E" w:rsidTr="006D51AB">
        <w:tc>
          <w:tcPr>
            <w:tcW w:w="402" w:type="dxa"/>
            <w:tcBorders>
              <w:left w:val="nil"/>
              <w:right w:val="nil"/>
            </w:tcBorders>
            <w:shd w:val="clear" w:color="auto" w:fill="C0C0C0"/>
          </w:tcPr>
          <w:p w:rsidR="00584FE3" w:rsidRPr="00B9319E" w:rsidRDefault="00584FE3" w:rsidP="006D51AB">
            <w:pPr>
              <w:spacing w:after="0" w:line="240" w:lineRule="auto"/>
              <w:rPr>
                <w:b/>
                <w:bCs/>
                <w:color w:val="000000"/>
                <w:sz w:val="24"/>
                <w:szCs w:val="24"/>
                <w:lang w:val="uk-UA"/>
              </w:rPr>
            </w:pPr>
            <w:r w:rsidRPr="00B9319E">
              <w:rPr>
                <w:bCs/>
                <w:color w:val="000000"/>
                <w:sz w:val="24"/>
                <w:szCs w:val="24"/>
                <w:lang w:val="uk-UA"/>
              </w:rPr>
              <w:t>3.</w:t>
            </w:r>
          </w:p>
        </w:tc>
        <w:tc>
          <w:tcPr>
            <w:tcW w:w="6936" w:type="dxa"/>
            <w:tcBorders>
              <w:left w:val="nil"/>
              <w:right w:val="nil"/>
            </w:tcBorders>
            <w:shd w:val="clear" w:color="auto" w:fill="C0C0C0"/>
          </w:tcPr>
          <w:p w:rsidR="00584FE3" w:rsidRPr="00B9319E" w:rsidRDefault="00584FE3" w:rsidP="006D51AB">
            <w:pPr>
              <w:spacing w:after="0" w:line="240" w:lineRule="auto"/>
              <w:rPr>
                <w:color w:val="000000"/>
                <w:sz w:val="24"/>
                <w:szCs w:val="24"/>
                <w:lang w:val="uk-UA"/>
              </w:rPr>
            </w:pPr>
            <w:r w:rsidRPr="00B9319E">
              <w:rPr>
                <w:color w:val="000000"/>
                <w:sz w:val="24"/>
                <w:szCs w:val="24"/>
                <w:lang w:val="uk-UA"/>
              </w:rPr>
              <w:t>Прогалини правового регулювання</w:t>
            </w:r>
          </w:p>
        </w:tc>
        <w:tc>
          <w:tcPr>
            <w:tcW w:w="2233" w:type="dxa"/>
            <w:tcBorders>
              <w:left w:val="nil"/>
              <w:right w:val="nil"/>
            </w:tcBorders>
            <w:shd w:val="clear" w:color="auto" w:fill="C0C0C0"/>
          </w:tcPr>
          <w:p w:rsidR="00584FE3" w:rsidRPr="00B9319E" w:rsidRDefault="00584FE3" w:rsidP="006D51AB">
            <w:pPr>
              <w:spacing w:after="0" w:line="240" w:lineRule="auto"/>
              <w:jc w:val="center"/>
              <w:rPr>
                <w:color w:val="000000"/>
                <w:sz w:val="24"/>
                <w:szCs w:val="24"/>
                <w:lang w:val="uk-UA"/>
              </w:rPr>
            </w:pPr>
            <w:r>
              <w:rPr>
                <w:color w:val="000000"/>
                <w:sz w:val="24"/>
                <w:szCs w:val="24"/>
                <w:lang w:val="uk-UA"/>
              </w:rPr>
              <w:t>Не виявлено</w:t>
            </w:r>
          </w:p>
        </w:tc>
      </w:tr>
      <w:tr w:rsidR="00584FE3" w:rsidRPr="00B9319E" w:rsidTr="006D51AB">
        <w:tc>
          <w:tcPr>
            <w:tcW w:w="402" w:type="dxa"/>
          </w:tcPr>
          <w:p w:rsidR="00584FE3" w:rsidRPr="00B9319E" w:rsidRDefault="00584FE3" w:rsidP="006D51AB">
            <w:pPr>
              <w:spacing w:after="0" w:line="240" w:lineRule="auto"/>
              <w:rPr>
                <w:b/>
                <w:bCs/>
                <w:color w:val="000000"/>
                <w:sz w:val="24"/>
                <w:szCs w:val="24"/>
                <w:lang w:val="uk-UA"/>
              </w:rPr>
            </w:pPr>
            <w:r w:rsidRPr="00B9319E">
              <w:rPr>
                <w:bCs/>
                <w:color w:val="000000"/>
                <w:sz w:val="24"/>
                <w:szCs w:val="24"/>
                <w:lang w:val="uk-UA"/>
              </w:rPr>
              <w:t>4.</w:t>
            </w:r>
          </w:p>
        </w:tc>
        <w:tc>
          <w:tcPr>
            <w:tcW w:w="6936" w:type="dxa"/>
          </w:tcPr>
          <w:p w:rsidR="00584FE3" w:rsidRPr="00B9319E" w:rsidRDefault="00584FE3" w:rsidP="006D51AB">
            <w:pPr>
              <w:spacing w:after="0" w:line="240" w:lineRule="auto"/>
              <w:rPr>
                <w:color w:val="000000"/>
                <w:sz w:val="24"/>
                <w:szCs w:val="24"/>
                <w:lang w:val="uk-UA"/>
              </w:rPr>
            </w:pPr>
            <w:r w:rsidRPr="00B9319E">
              <w:rPr>
                <w:color w:val="000000"/>
                <w:sz w:val="24"/>
                <w:szCs w:val="24"/>
                <w:lang w:val="uk-UA"/>
              </w:rPr>
              <w:t>Колізії в законодавстві</w:t>
            </w:r>
          </w:p>
        </w:tc>
        <w:tc>
          <w:tcPr>
            <w:tcW w:w="2233" w:type="dxa"/>
          </w:tcPr>
          <w:p w:rsidR="00584FE3" w:rsidRPr="00C4021F" w:rsidRDefault="009460CE" w:rsidP="006D51AB">
            <w:pPr>
              <w:spacing w:after="0" w:line="240" w:lineRule="auto"/>
              <w:jc w:val="center"/>
              <w:rPr>
                <w:b/>
                <w:color w:val="000000"/>
                <w:sz w:val="24"/>
                <w:szCs w:val="24"/>
                <w:lang w:val="uk-UA"/>
              </w:rPr>
            </w:pPr>
            <w:r>
              <w:rPr>
                <w:b/>
                <w:color w:val="000000"/>
                <w:sz w:val="24"/>
                <w:szCs w:val="24"/>
                <w:lang w:val="uk-UA"/>
              </w:rPr>
              <w:t>2</w:t>
            </w:r>
          </w:p>
        </w:tc>
      </w:tr>
      <w:tr w:rsidR="00584FE3" w:rsidRPr="00B9319E" w:rsidTr="006D51AB">
        <w:tc>
          <w:tcPr>
            <w:tcW w:w="402" w:type="dxa"/>
            <w:tcBorders>
              <w:left w:val="nil"/>
              <w:right w:val="nil"/>
            </w:tcBorders>
            <w:shd w:val="clear" w:color="auto" w:fill="C0C0C0"/>
          </w:tcPr>
          <w:p w:rsidR="00584FE3" w:rsidRPr="00B9319E" w:rsidRDefault="00584FE3" w:rsidP="006D51AB">
            <w:pPr>
              <w:spacing w:after="0" w:line="240" w:lineRule="auto"/>
              <w:rPr>
                <w:b/>
                <w:bCs/>
                <w:color w:val="000000"/>
                <w:sz w:val="24"/>
                <w:szCs w:val="24"/>
                <w:lang w:val="uk-UA"/>
              </w:rPr>
            </w:pPr>
            <w:r w:rsidRPr="00B9319E">
              <w:rPr>
                <w:bCs/>
                <w:color w:val="000000"/>
                <w:sz w:val="24"/>
                <w:szCs w:val="24"/>
                <w:lang w:val="uk-UA"/>
              </w:rPr>
              <w:t>5.</w:t>
            </w:r>
          </w:p>
        </w:tc>
        <w:tc>
          <w:tcPr>
            <w:tcW w:w="6936" w:type="dxa"/>
            <w:tcBorders>
              <w:left w:val="nil"/>
              <w:right w:val="nil"/>
            </w:tcBorders>
            <w:shd w:val="clear" w:color="auto" w:fill="C0C0C0"/>
          </w:tcPr>
          <w:p w:rsidR="00584FE3" w:rsidRPr="00B9319E" w:rsidRDefault="00584FE3" w:rsidP="006D51AB">
            <w:pPr>
              <w:spacing w:after="0" w:line="240" w:lineRule="auto"/>
              <w:rPr>
                <w:color w:val="000000"/>
                <w:sz w:val="24"/>
                <w:szCs w:val="24"/>
                <w:lang w:val="uk-UA"/>
              </w:rPr>
            </w:pPr>
            <w:r w:rsidRPr="00B9319E">
              <w:rPr>
                <w:color w:val="000000"/>
                <w:sz w:val="24"/>
                <w:szCs w:val="24"/>
                <w:lang w:val="uk-UA"/>
              </w:rPr>
              <w:t>Надмірна кількість контактів приватного сектору з органами влади, необхідних для виконання процедури</w:t>
            </w:r>
          </w:p>
        </w:tc>
        <w:tc>
          <w:tcPr>
            <w:tcW w:w="2233" w:type="dxa"/>
            <w:tcBorders>
              <w:left w:val="nil"/>
              <w:right w:val="nil"/>
            </w:tcBorders>
            <w:shd w:val="clear" w:color="auto" w:fill="C0C0C0"/>
          </w:tcPr>
          <w:p w:rsidR="00584FE3" w:rsidRPr="00B9319E" w:rsidRDefault="00584FE3" w:rsidP="006D51AB">
            <w:pPr>
              <w:spacing w:after="0" w:line="240" w:lineRule="auto"/>
              <w:jc w:val="center"/>
              <w:rPr>
                <w:color w:val="000000"/>
                <w:sz w:val="24"/>
                <w:szCs w:val="24"/>
                <w:lang w:val="uk-UA"/>
              </w:rPr>
            </w:pPr>
            <w:r w:rsidRPr="00B9319E">
              <w:rPr>
                <w:color w:val="000000"/>
                <w:sz w:val="24"/>
                <w:szCs w:val="24"/>
                <w:lang w:val="uk-UA"/>
              </w:rPr>
              <w:t>Не виявлено</w:t>
            </w:r>
          </w:p>
        </w:tc>
      </w:tr>
      <w:tr w:rsidR="00584FE3" w:rsidRPr="00B9319E" w:rsidTr="006D51AB">
        <w:tc>
          <w:tcPr>
            <w:tcW w:w="402" w:type="dxa"/>
          </w:tcPr>
          <w:p w:rsidR="00584FE3" w:rsidRPr="00B9319E" w:rsidRDefault="00584FE3" w:rsidP="006D51AB">
            <w:pPr>
              <w:spacing w:after="0" w:line="240" w:lineRule="auto"/>
              <w:rPr>
                <w:b/>
                <w:bCs/>
                <w:color w:val="000000"/>
                <w:sz w:val="24"/>
                <w:szCs w:val="24"/>
                <w:lang w:val="uk-UA"/>
              </w:rPr>
            </w:pPr>
            <w:r w:rsidRPr="00B9319E">
              <w:rPr>
                <w:bCs/>
                <w:color w:val="000000"/>
                <w:sz w:val="24"/>
                <w:szCs w:val="24"/>
                <w:lang w:val="uk-UA"/>
              </w:rPr>
              <w:t>6.</w:t>
            </w:r>
          </w:p>
        </w:tc>
        <w:tc>
          <w:tcPr>
            <w:tcW w:w="6936" w:type="dxa"/>
          </w:tcPr>
          <w:p w:rsidR="00584FE3" w:rsidRPr="00B9319E" w:rsidRDefault="00584FE3" w:rsidP="006D51AB">
            <w:pPr>
              <w:spacing w:after="0" w:line="240" w:lineRule="auto"/>
              <w:rPr>
                <w:color w:val="000000"/>
                <w:sz w:val="24"/>
                <w:szCs w:val="24"/>
                <w:lang w:val="uk-UA"/>
              </w:rPr>
            </w:pPr>
            <w:r w:rsidRPr="00B9319E">
              <w:rPr>
                <w:color w:val="000000"/>
                <w:sz w:val="24"/>
                <w:szCs w:val="24"/>
                <w:lang w:val="uk-UA"/>
              </w:rPr>
              <w:t xml:space="preserve">Надмірна кількість органів влади, з якими має контакт </w:t>
            </w:r>
            <w:r w:rsidRPr="00B9319E">
              <w:rPr>
                <w:color w:val="000000"/>
                <w:sz w:val="24"/>
                <w:szCs w:val="24"/>
                <w:lang w:val="uk-UA"/>
              </w:rPr>
              <w:lastRenderedPageBreak/>
              <w:t>приватний сектор згідно процедури</w:t>
            </w:r>
          </w:p>
        </w:tc>
        <w:tc>
          <w:tcPr>
            <w:tcW w:w="2233" w:type="dxa"/>
          </w:tcPr>
          <w:p w:rsidR="00584FE3" w:rsidRPr="00B9319E" w:rsidRDefault="00584FE3" w:rsidP="006D51AB">
            <w:pPr>
              <w:spacing w:after="0" w:line="240" w:lineRule="auto"/>
              <w:jc w:val="center"/>
              <w:rPr>
                <w:color w:val="000000"/>
                <w:sz w:val="24"/>
                <w:szCs w:val="24"/>
                <w:lang w:val="uk-UA"/>
              </w:rPr>
            </w:pPr>
            <w:r w:rsidRPr="00B9319E">
              <w:rPr>
                <w:color w:val="000000"/>
                <w:sz w:val="24"/>
                <w:szCs w:val="24"/>
                <w:lang w:val="uk-UA"/>
              </w:rPr>
              <w:lastRenderedPageBreak/>
              <w:t>Не виявлено</w:t>
            </w:r>
          </w:p>
        </w:tc>
      </w:tr>
      <w:tr w:rsidR="00584FE3" w:rsidRPr="00B9319E" w:rsidTr="006D51AB">
        <w:tc>
          <w:tcPr>
            <w:tcW w:w="402" w:type="dxa"/>
            <w:tcBorders>
              <w:left w:val="nil"/>
              <w:right w:val="nil"/>
            </w:tcBorders>
            <w:shd w:val="clear" w:color="auto" w:fill="C0C0C0"/>
          </w:tcPr>
          <w:p w:rsidR="00584FE3" w:rsidRPr="00B9319E" w:rsidRDefault="00584FE3" w:rsidP="006D51AB">
            <w:pPr>
              <w:spacing w:after="0" w:line="240" w:lineRule="auto"/>
              <w:rPr>
                <w:b/>
                <w:bCs/>
                <w:color w:val="000000"/>
                <w:sz w:val="24"/>
                <w:szCs w:val="24"/>
                <w:lang w:val="uk-UA"/>
              </w:rPr>
            </w:pPr>
            <w:r w:rsidRPr="00B9319E">
              <w:rPr>
                <w:bCs/>
                <w:color w:val="000000"/>
                <w:sz w:val="24"/>
                <w:szCs w:val="24"/>
                <w:lang w:val="uk-UA"/>
              </w:rPr>
              <w:lastRenderedPageBreak/>
              <w:t>7.</w:t>
            </w:r>
          </w:p>
        </w:tc>
        <w:tc>
          <w:tcPr>
            <w:tcW w:w="6936" w:type="dxa"/>
            <w:tcBorders>
              <w:left w:val="nil"/>
              <w:right w:val="nil"/>
            </w:tcBorders>
            <w:shd w:val="clear" w:color="auto" w:fill="C0C0C0"/>
          </w:tcPr>
          <w:p w:rsidR="00584FE3" w:rsidRPr="00B9319E" w:rsidRDefault="00584FE3" w:rsidP="006D51AB">
            <w:pPr>
              <w:spacing w:after="0" w:line="240" w:lineRule="auto"/>
              <w:rPr>
                <w:color w:val="000000"/>
                <w:sz w:val="24"/>
                <w:szCs w:val="24"/>
                <w:lang w:val="uk-UA"/>
              </w:rPr>
            </w:pPr>
            <w:r w:rsidRPr="00B9319E">
              <w:rPr>
                <w:color w:val="000000"/>
                <w:sz w:val="24"/>
                <w:szCs w:val="24"/>
                <w:lang w:val="uk-UA"/>
              </w:rPr>
              <w:t>Поєднання нормотворчих та контролюючих функцій в одному органі влади</w:t>
            </w:r>
          </w:p>
        </w:tc>
        <w:tc>
          <w:tcPr>
            <w:tcW w:w="2233" w:type="dxa"/>
            <w:tcBorders>
              <w:left w:val="nil"/>
              <w:right w:val="nil"/>
            </w:tcBorders>
            <w:shd w:val="clear" w:color="auto" w:fill="C0C0C0"/>
          </w:tcPr>
          <w:p w:rsidR="00584FE3" w:rsidRPr="00B9319E" w:rsidRDefault="00584FE3" w:rsidP="006D51AB">
            <w:pPr>
              <w:spacing w:after="0" w:line="240" w:lineRule="auto"/>
              <w:jc w:val="center"/>
              <w:rPr>
                <w:color w:val="000000"/>
                <w:sz w:val="24"/>
                <w:szCs w:val="24"/>
                <w:lang w:val="uk-UA"/>
              </w:rPr>
            </w:pPr>
            <w:r w:rsidRPr="00B9319E">
              <w:rPr>
                <w:color w:val="000000"/>
                <w:sz w:val="24"/>
                <w:szCs w:val="24"/>
                <w:lang w:val="uk-UA"/>
              </w:rPr>
              <w:t>Не виявлено</w:t>
            </w:r>
          </w:p>
        </w:tc>
      </w:tr>
      <w:tr w:rsidR="00584FE3" w:rsidRPr="00B9319E" w:rsidTr="006D51AB">
        <w:tc>
          <w:tcPr>
            <w:tcW w:w="402" w:type="dxa"/>
            <w:tcBorders>
              <w:bottom w:val="single" w:sz="8" w:space="0" w:color="000000"/>
            </w:tcBorders>
          </w:tcPr>
          <w:p w:rsidR="00584FE3" w:rsidRPr="00FC515C" w:rsidRDefault="00584FE3" w:rsidP="006D51AB">
            <w:pPr>
              <w:spacing w:after="0" w:line="240" w:lineRule="auto"/>
              <w:rPr>
                <w:bCs/>
                <w:color w:val="000000"/>
                <w:sz w:val="24"/>
                <w:szCs w:val="24"/>
                <w:lang w:val="uk-UA"/>
              </w:rPr>
            </w:pPr>
            <w:r w:rsidRPr="00FC515C">
              <w:rPr>
                <w:bCs/>
                <w:color w:val="000000"/>
                <w:sz w:val="24"/>
                <w:szCs w:val="24"/>
                <w:lang w:val="uk-UA"/>
              </w:rPr>
              <w:t>8.</w:t>
            </w:r>
          </w:p>
        </w:tc>
        <w:tc>
          <w:tcPr>
            <w:tcW w:w="6936" w:type="dxa"/>
            <w:tcBorders>
              <w:bottom w:val="single" w:sz="8" w:space="0" w:color="000000"/>
            </w:tcBorders>
          </w:tcPr>
          <w:p w:rsidR="00584FE3" w:rsidRPr="00B9319E" w:rsidRDefault="00584FE3" w:rsidP="006D51AB">
            <w:pPr>
              <w:spacing w:after="0" w:line="240" w:lineRule="auto"/>
              <w:rPr>
                <w:color w:val="000000"/>
                <w:sz w:val="24"/>
                <w:szCs w:val="24"/>
                <w:lang w:val="uk-UA"/>
              </w:rPr>
            </w:pPr>
            <w:r w:rsidRPr="00075FCC">
              <w:rPr>
                <w:rFonts w:cs="Arial"/>
                <w:color w:val="000000"/>
                <w:sz w:val="24"/>
                <w:szCs w:val="24"/>
                <w:lang w:val="uk-UA" w:eastAsia="ru-RU"/>
              </w:rPr>
              <w:t>Конфлікт інтересів ініціаторів законопроекту, що може призвести до отримання неправомірної вигоди</w:t>
            </w:r>
          </w:p>
        </w:tc>
        <w:tc>
          <w:tcPr>
            <w:tcW w:w="2233" w:type="dxa"/>
            <w:tcBorders>
              <w:bottom w:val="single" w:sz="8" w:space="0" w:color="000000"/>
            </w:tcBorders>
          </w:tcPr>
          <w:p w:rsidR="00584FE3" w:rsidRPr="00FC515C" w:rsidRDefault="00584FE3" w:rsidP="006D51AB">
            <w:pPr>
              <w:spacing w:after="0" w:line="240" w:lineRule="auto"/>
              <w:jc w:val="center"/>
              <w:rPr>
                <w:color w:val="000000"/>
                <w:sz w:val="24"/>
                <w:szCs w:val="24"/>
                <w:lang w:val="uk-UA"/>
              </w:rPr>
            </w:pPr>
            <w:r w:rsidRPr="00FC515C">
              <w:rPr>
                <w:color w:val="000000"/>
                <w:sz w:val="24"/>
                <w:szCs w:val="24"/>
                <w:lang w:val="uk-UA"/>
              </w:rPr>
              <w:t>Не виявлено</w:t>
            </w:r>
          </w:p>
        </w:tc>
      </w:tr>
      <w:tr w:rsidR="00584FE3" w:rsidRPr="00B9319E" w:rsidTr="006D51AB">
        <w:tc>
          <w:tcPr>
            <w:tcW w:w="402" w:type="dxa"/>
            <w:tcBorders>
              <w:bottom w:val="single" w:sz="8" w:space="0" w:color="000000"/>
            </w:tcBorders>
          </w:tcPr>
          <w:p w:rsidR="00584FE3" w:rsidRPr="00B9319E" w:rsidRDefault="00584FE3" w:rsidP="006D51AB">
            <w:pPr>
              <w:spacing w:after="0" w:line="240" w:lineRule="auto"/>
              <w:rPr>
                <w:b/>
                <w:bCs/>
                <w:color w:val="000000"/>
                <w:sz w:val="24"/>
                <w:szCs w:val="24"/>
                <w:lang w:val="uk-UA"/>
              </w:rPr>
            </w:pPr>
          </w:p>
        </w:tc>
        <w:tc>
          <w:tcPr>
            <w:tcW w:w="6936" w:type="dxa"/>
            <w:tcBorders>
              <w:bottom w:val="single" w:sz="8" w:space="0" w:color="000000"/>
            </w:tcBorders>
          </w:tcPr>
          <w:p w:rsidR="00584FE3" w:rsidRPr="00B9319E" w:rsidRDefault="00584FE3" w:rsidP="006D51AB">
            <w:pPr>
              <w:spacing w:after="0" w:line="240" w:lineRule="auto"/>
              <w:rPr>
                <w:color w:val="000000"/>
                <w:sz w:val="24"/>
                <w:szCs w:val="24"/>
                <w:lang w:val="uk-UA"/>
              </w:rPr>
            </w:pPr>
            <w:r w:rsidRPr="00B9319E">
              <w:rPr>
                <w:color w:val="000000"/>
                <w:sz w:val="24"/>
                <w:szCs w:val="24"/>
                <w:lang w:val="uk-UA"/>
              </w:rPr>
              <w:t>Всього</w:t>
            </w:r>
          </w:p>
        </w:tc>
        <w:tc>
          <w:tcPr>
            <w:tcW w:w="2233" w:type="dxa"/>
            <w:tcBorders>
              <w:bottom w:val="single" w:sz="8" w:space="0" w:color="000000"/>
            </w:tcBorders>
          </w:tcPr>
          <w:p w:rsidR="00584FE3" w:rsidRPr="00B9319E" w:rsidRDefault="009460CE" w:rsidP="006D51AB">
            <w:pPr>
              <w:spacing w:after="0" w:line="240" w:lineRule="auto"/>
              <w:jc w:val="center"/>
              <w:rPr>
                <w:b/>
                <w:color w:val="000000"/>
                <w:sz w:val="24"/>
                <w:szCs w:val="24"/>
                <w:lang w:val="uk-UA"/>
              </w:rPr>
            </w:pPr>
            <w:r>
              <w:rPr>
                <w:b/>
                <w:color w:val="000000"/>
                <w:sz w:val="24"/>
                <w:szCs w:val="24"/>
                <w:lang w:val="uk-UA"/>
              </w:rPr>
              <w:t>2</w:t>
            </w:r>
          </w:p>
        </w:tc>
      </w:tr>
    </w:tbl>
    <w:p w:rsidR="00584FE3" w:rsidRPr="001E2478" w:rsidRDefault="00584FE3" w:rsidP="00584FE3">
      <w:pPr>
        <w:pStyle w:val="1"/>
        <w:numPr>
          <w:ilvl w:val="0"/>
          <w:numId w:val="2"/>
        </w:numPr>
        <w:spacing w:before="120" w:after="120" w:line="240" w:lineRule="auto"/>
        <w:ind w:left="714" w:hanging="357"/>
        <w:contextualSpacing w:val="0"/>
        <w:rPr>
          <w:b/>
          <w:sz w:val="24"/>
          <w:szCs w:val="24"/>
          <w:lang w:val="uk-UA"/>
        </w:rPr>
      </w:pPr>
      <w:r w:rsidRPr="001E2478">
        <w:rPr>
          <w:b/>
          <w:sz w:val="24"/>
          <w:szCs w:val="24"/>
          <w:lang w:val="uk-UA"/>
        </w:rPr>
        <w:t>Ключові наслідки</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5220"/>
        <w:gridCol w:w="2260"/>
      </w:tblGrid>
      <w:tr w:rsidR="00584FE3" w:rsidRPr="00B9319E" w:rsidTr="006D51AB">
        <w:tc>
          <w:tcPr>
            <w:tcW w:w="2088" w:type="dxa"/>
          </w:tcPr>
          <w:p w:rsidR="00584FE3" w:rsidRPr="00B9319E" w:rsidRDefault="00584FE3" w:rsidP="006D51AB">
            <w:pPr>
              <w:spacing w:after="0" w:line="240" w:lineRule="auto"/>
              <w:jc w:val="center"/>
              <w:rPr>
                <w:sz w:val="24"/>
                <w:szCs w:val="24"/>
                <w:lang w:val="uk-UA"/>
              </w:rPr>
            </w:pPr>
            <w:r w:rsidRPr="00B9319E">
              <w:rPr>
                <w:sz w:val="24"/>
                <w:szCs w:val="24"/>
                <w:lang w:val="uk-UA"/>
              </w:rPr>
              <w:t>Стаття законопроекту</w:t>
            </w:r>
          </w:p>
        </w:tc>
        <w:tc>
          <w:tcPr>
            <w:tcW w:w="5220" w:type="dxa"/>
          </w:tcPr>
          <w:p w:rsidR="00584FE3" w:rsidRPr="00B9319E" w:rsidRDefault="00584FE3" w:rsidP="006D51AB">
            <w:pPr>
              <w:spacing w:after="0" w:line="240" w:lineRule="auto"/>
              <w:jc w:val="center"/>
              <w:rPr>
                <w:sz w:val="24"/>
                <w:szCs w:val="24"/>
                <w:lang w:val="uk-UA"/>
              </w:rPr>
            </w:pPr>
            <w:proofErr w:type="spellStart"/>
            <w:r w:rsidRPr="00B9319E">
              <w:rPr>
                <w:sz w:val="24"/>
                <w:szCs w:val="24"/>
                <w:lang w:val="uk-UA"/>
              </w:rPr>
              <w:t>Корупціогенний</w:t>
            </w:r>
            <w:proofErr w:type="spellEnd"/>
            <w:r w:rsidRPr="00B9319E">
              <w:rPr>
                <w:sz w:val="24"/>
                <w:szCs w:val="24"/>
                <w:lang w:val="uk-UA"/>
              </w:rPr>
              <w:t xml:space="preserve"> чинник</w:t>
            </w:r>
          </w:p>
        </w:tc>
        <w:tc>
          <w:tcPr>
            <w:tcW w:w="2260" w:type="dxa"/>
          </w:tcPr>
          <w:p w:rsidR="00584FE3" w:rsidRPr="00B9319E" w:rsidRDefault="00584FE3" w:rsidP="006D51AB">
            <w:pPr>
              <w:spacing w:after="0" w:line="240" w:lineRule="auto"/>
              <w:jc w:val="center"/>
              <w:rPr>
                <w:sz w:val="24"/>
                <w:szCs w:val="24"/>
                <w:lang w:val="uk-UA"/>
              </w:rPr>
            </w:pPr>
            <w:r w:rsidRPr="00B9319E">
              <w:rPr>
                <w:sz w:val="24"/>
                <w:szCs w:val="24"/>
                <w:lang w:val="uk-UA"/>
              </w:rPr>
              <w:t>Наслідок</w:t>
            </w:r>
          </w:p>
        </w:tc>
      </w:tr>
      <w:tr w:rsidR="00A16A74" w:rsidRPr="00B9319E" w:rsidTr="006D51AB">
        <w:trPr>
          <w:trHeight w:val="1380"/>
        </w:trPr>
        <w:tc>
          <w:tcPr>
            <w:tcW w:w="2088" w:type="dxa"/>
          </w:tcPr>
          <w:p w:rsidR="00A16A74" w:rsidRDefault="00A16A74" w:rsidP="00A16A74">
            <w:pPr>
              <w:spacing w:after="0" w:line="240" w:lineRule="auto"/>
              <w:rPr>
                <w:sz w:val="24"/>
                <w:szCs w:val="24"/>
                <w:lang w:val="uk-UA"/>
              </w:rPr>
            </w:pPr>
            <w:r>
              <w:rPr>
                <w:sz w:val="24"/>
                <w:szCs w:val="24"/>
                <w:lang w:val="uk-UA"/>
              </w:rPr>
              <w:t xml:space="preserve">Частина  3 ст. 1 Закону України "Про </w:t>
            </w:r>
            <w:r w:rsidRPr="00953F77">
              <w:rPr>
                <w:sz w:val="24"/>
                <w:szCs w:val="24"/>
                <w:lang w:val="uk-UA"/>
              </w:rPr>
              <w:t>забезпечення реалізації житло</w:t>
            </w:r>
            <w:r>
              <w:rPr>
                <w:sz w:val="24"/>
                <w:szCs w:val="24"/>
                <w:lang w:val="uk-UA"/>
              </w:rPr>
              <w:t>вих прав мешканців гуртожитків" в запропонованій</w:t>
            </w:r>
          </w:p>
          <w:p w:rsidR="00A16A74" w:rsidRPr="00653095" w:rsidRDefault="00A16A74" w:rsidP="00A16A74">
            <w:pPr>
              <w:spacing w:after="0" w:line="240" w:lineRule="auto"/>
              <w:rPr>
                <w:sz w:val="24"/>
                <w:szCs w:val="24"/>
                <w:lang w:val="uk-UA"/>
              </w:rPr>
            </w:pPr>
            <w:r>
              <w:rPr>
                <w:sz w:val="24"/>
                <w:szCs w:val="24"/>
                <w:lang w:val="uk-UA"/>
              </w:rPr>
              <w:t>редакції</w:t>
            </w:r>
          </w:p>
        </w:tc>
        <w:tc>
          <w:tcPr>
            <w:tcW w:w="5220" w:type="dxa"/>
          </w:tcPr>
          <w:p w:rsidR="00A16A74" w:rsidRPr="002860D8" w:rsidRDefault="00A16A74" w:rsidP="00A16A74">
            <w:pPr>
              <w:pStyle w:val="HTML"/>
              <w:shd w:val="clear" w:color="auto" w:fill="FFFFFF"/>
              <w:textAlignment w:val="baseline"/>
              <w:rPr>
                <w:rFonts w:ascii="Calibri" w:hAnsi="Calibri"/>
                <w:b/>
                <w:sz w:val="24"/>
                <w:szCs w:val="24"/>
              </w:rPr>
            </w:pPr>
            <w:r>
              <w:rPr>
                <w:rFonts w:ascii="Calibri" w:hAnsi="Calibri"/>
                <w:b/>
                <w:sz w:val="24"/>
                <w:szCs w:val="24"/>
              </w:rPr>
              <w:t>Колізія в законодавстві</w:t>
            </w:r>
            <w:r w:rsidRPr="002860D8">
              <w:rPr>
                <w:rFonts w:ascii="Calibri" w:hAnsi="Calibri"/>
                <w:b/>
                <w:sz w:val="24"/>
                <w:szCs w:val="24"/>
              </w:rPr>
              <w:t xml:space="preserve">. </w:t>
            </w:r>
          </w:p>
          <w:p w:rsidR="00A16A74" w:rsidRDefault="00A16A74" w:rsidP="00A16A74">
            <w:pPr>
              <w:pStyle w:val="HTML"/>
              <w:shd w:val="clear" w:color="auto" w:fill="FFFFFF"/>
              <w:textAlignment w:val="baseline"/>
              <w:rPr>
                <w:rFonts w:ascii="Calibri" w:hAnsi="Calibri"/>
                <w:sz w:val="24"/>
                <w:szCs w:val="24"/>
              </w:rPr>
            </w:pPr>
            <w:r>
              <w:rPr>
                <w:rFonts w:ascii="Calibri" w:hAnsi="Calibri"/>
                <w:sz w:val="24"/>
                <w:szCs w:val="24"/>
              </w:rPr>
              <w:t>Законопроект залишає без змін частину</w:t>
            </w:r>
            <w:r w:rsidRPr="00953F77">
              <w:rPr>
                <w:rFonts w:ascii="Calibri" w:hAnsi="Calibri"/>
                <w:sz w:val="24"/>
                <w:szCs w:val="24"/>
              </w:rPr>
              <w:t xml:space="preserve"> 2 ст. 1 Закону України "Про забезпечення реалізації житлових прав мешканців гуртожитків"</w:t>
            </w:r>
            <w:r>
              <w:rPr>
                <w:rFonts w:ascii="Calibri" w:hAnsi="Calibri"/>
                <w:sz w:val="24"/>
                <w:szCs w:val="24"/>
              </w:rPr>
              <w:t>, згідно з якою сфера дії цього З</w:t>
            </w:r>
            <w:r w:rsidRPr="00953F77">
              <w:rPr>
                <w:rFonts w:ascii="Calibri" w:hAnsi="Calibri"/>
                <w:sz w:val="24"/>
                <w:szCs w:val="24"/>
              </w:rPr>
              <w:t xml:space="preserve">акону не поширюється, зокрема, на військовослужбовців, працівників </w:t>
            </w:r>
            <w:r>
              <w:rPr>
                <w:rFonts w:ascii="Calibri" w:hAnsi="Calibri"/>
                <w:sz w:val="24"/>
                <w:szCs w:val="24"/>
              </w:rPr>
              <w:t>ЗС</w:t>
            </w:r>
            <w:r w:rsidRPr="00953F77">
              <w:rPr>
                <w:rFonts w:ascii="Calibri" w:hAnsi="Calibri"/>
                <w:sz w:val="24"/>
                <w:szCs w:val="24"/>
              </w:rPr>
              <w:t xml:space="preserve"> та </w:t>
            </w:r>
            <w:r>
              <w:rPr>
                <w:rFonts w:ascii="Calibri" w:hAnsi="Calibri"/>
                <w:sz w:val="24"/>
                <w:szCs w:val="24"/>
              </w:rPr>
              <w:t>МВС</w:t>
            </w:r>
            <w:r w:rsidRPr="00953F77">
              <w:rPr>
                <w:rFonts w:ascii="Calibri" w:hAnsi="Calibri"/>
                <w:sz w:val="24"/>
                <w:szCs w:val="24"/>
              </w:rPr>
              <w:t xml:space="preserve"> Україн</w:t>
            </w:r>
            <w:r>
              <w:rPr>
                <w:rFonts w:ascii="Calibri" w:hAnsi="Calibri"/>
                <w:sz w:val="24"/>
                <w:szCs w:val="24"/>
              </w:rPr>
              <w:t>и, які проживають у гуртожитках, та абзац 1 частини</w:t>
            </w:r>
            <w:r w:rsidRPr="00953F77">
              <w:rPr>
                <w:rFonts w:ascii="Calibri" w:hAnsi="Calibri"/>
                <w:sz w:val="24"/>
                <w:szCs w:val="24"/>
              </w:rPr>
              <w:t xml:space="preserve"> 3 цієї ж статті</w:t>
            </w:r>
            <w:r>
              <w:rPr>
                <w:rFonts w:ascii="Calibri" w:hAnsi="Calibri"/>
                <w:sz w:val="24"/>
                <w:szCs w:val="24"/>
              </w:rPr>
              <w:t>, з якої</w:t>
            </w:r>
            <w:r w:rsidRPr="00953F77">
              <w:rPr>
                <w:rFonts w:ascii="Calibri" w:hAnsi="Calibri"/>
                <w:sz w:val="24"/>
                <w:szCs w:val="24"/>
              </w:rPr>
              <w:t xml:space="preserve"> випливає, що сфера дії Закону не поширюється на гуртожитки, які перебувають у господарському віданні чи в оперативному управлінні військових частин, закладів, установ та організацій </w:t>
            </w:r>
            <w:r>
              <w:rPr>
                <w:rFonts w:ascii="Calibri" w:hAnsi="Calibri"/>
                <w:sz w:val="24"/>
                <w:szCs w:val="24"/>
              </w:rPr>
              <w:t>ЗС</w:t>
            </w:r>
            <w:r w:rsidRPr="00953F77">
              <w:rPr>
                <w:rFonts w:ascii="Calibri" w:hAnsi="Calibri"/>
                <w:sz w:val="24"/>
                <w:szCs w:val="24"/>
              </w:rPr>
              <w:t xml:space="preserve">, інших військових формувань, утворених відповідно до закону, </w:t>
            </w:r>
            <w:r>
              <w:rPr>
                <w:rFonts w:ascii="Calibri" w:hAnsi="Calibri"/>
                <w:sz w:val="24"/>
                <w:szCs w:val="24"/>
              </w:rPr>
              <w:t>МВС</w:t>
            </w:r>
            <w:r w:rsidRPr="00953F77">
              <w:rPr>
                <w:rFonts w:ascii="Calibri" w:hAnsi="Calibri"/>
                <w:sz w:val="24"/>
                <w:szCs w:val="24"/>
              </w:rPr>
              <w:t xml:space="preserve"> України та державних навчальних закладів.</w:t>
            </w:r>
            <w:r>
              <w:rPr>
                <w:rFonts w:ascii="Calibri" w:hAnsi="Calibri"/>
                <w:sz w:val="24"/>
                <w:szCs w:val="24"/>
              </w:rPr>
              <w:t xml:space="preserve"> </w:t>
            </w:r>
          </w:p>
          <w:p w:rsidR="00A16A74" w:rsidRPr="00653095" w:rsidRDefault="00A16A74" w:rsidP="00A16A74">
            <w:pPr>
              <w:pStyle w:val="HTML"/>
              <w:shd w:val="clear" w:color="auto" w:fill="FFFFFF"/>
              <w:textAlignment w:val="baseline"/>
              <w:rPr>
                <w:b/>
                <w:sz w:val="24"/>
                <w:szCs w:val="24"/>
              </w:rPr>
            </w:pPr>
            <w:r>
              <w:rPr>
                <w:rFonts w:ascii="Calibri" w:hAnsi="Calibri"/>
                <w:sz w:val="24"/>
                <w:szCs w:val="24"/>
              </w:rPr>
              <w:t xml:space="preserve">Проте частина 3 ст. 1 Закону доповнюється абзацом 2, який суперечить змісту зазначених вище положень: він передбачає, що  </w:t>
            </w:r>
            <w:r w:rsidRPr="007E0585">
              <w:rPr>
                <w:rFonts w:ascii="Calibri" w:hAnsi="Calibri"/>
                <w:sz w:val="24"/>
                <w:szCs w:val="24"/>
              </w:rPr>
              <w:t xml:space="preserve">громадяни, які фактично проживають у гуртожитках, що перебувають у господарському віданні чи в оперативному управлінні військових частин, закладів, установ та організацій </w:t>
            </w:r>
            <w:r>
              <w:rPr>
                <w:rFonts w:ascii="Calibri" w:hAnsi="Calibri"/>
                <w:sz w:val="24"/>
                <w:szCs w:val="24"/>
              </w:rPr>
              <w:t>ЗС</w:t>
            </w:r>
            <w:r w:rsidRPr="007E0585">
              <w:rPr>
                <w:rFonts w:ascii="Calibri" w:hAnsi="Calibri"/>
                <w:sz w:val="24"/>
                <w:szCs w:val="24"/>
              </w:rPr>
              <w:t xml:space="preserve">, інших військових формувань, утворених відповідно до закону, </w:t>
            </w:r>
            <w:r>
              <w:rPr>
                <w:rFonts w:ascii="Calibri" w:hAnsi="Calibri"/>
                <w:sz w:val="24"/>
                <w:szCs w:val="24"/>
              </w:rPr>
              <w:t>МВС</w:t>
            </w:r>
            <w:r w:rsidRPr="007E0585">
              <w:rPr>
                <w:rFonts w:ascii="Calibri" w:hAnsi="Calibri"/>
                <w:sz w:val="24"/>
                <w:szCs w:val="24"/>
              </w:rPr>
              <w:t xml:space="preserve"> України та державних навчальних закладів, не мають власного житла, більше п'яти років на законних підставах зареєстровані за місцем проживання у гуртожитках, але при цьому не є військовослужбовцями, працівниками </w:t>
            </w:r>
            <w:r>
              <w:rPr>
                <w:rFonts w:ascii="Calibri" w:hAnsi="Calibri"/>
                <w:sz w:val="24"/>
                <w:szCs w:val="24"/>
              </w:rPr>
              <w:t>ЗС</w:t>
            </w:r>
            <w:r w:rsidRPr="007E0585">
              <w:rPr>
                <w:rFonts w:ascii="Calibri" w:hAnsi="Calibri"/>
                <w:sz w:val="24"/>
                <w:szCs w:val="24"/>
              </w:rPr>
              <w:t xml:space="preserve"> та </w:t>
            </w:r>
            <w:r>
              <w:rPr>
                <w:rFonts w:ascii="Calibri" w:hAnsi="Calibri"/>
                <w:sz w:val="24"/>
                <w:szCs w:val="24"/>
              </w:rPr>
              <w:t>МВС</w:t>
            </w:r>
            <w:r w:rsidRPr="007E0585">
              <w:rPr>
                <w:rFonts w:ascii="Calibri" w:hAnsi="Calibri"/>
                <w:sz w:val="24"/>
                <w:szCs w:val="24"/>
              </w:rPr>
              <w:t xml:space="preserve"> України, мають право реалізувати конституційне право на житло відповідно до цього Закону.</w:t>
            </w:r>
          </w:p>
        </w:tc>
        <w:tc>
          <w:tcPr>
            <w:tcW w:w="2260" w:type="dxa"/>
            <w:vMerge w:val="restart"/>
          </w:tcPr>
          <w:p w:rsidR="00A16A74" w:rsidRPr="00507DF4" w:rsidRDefault="00A16A74" w:rsidP="006D51AB">
            <w:pPr>
              <w:spacing w:after="0" w:line="240" w:lineRule="auto"/>
              <w:rPr>
                <w:sz w:val="24"/>
                <w:szCs w:val="24"/>
                <w:lang w:val="uk-UA"/>
              </w:rPr>
            </w:pPr>
            <w:r>
              <w:rPr>
                <w:sz w:val="24"/>
                <w:szCs w:val="24"/>
                <w:lang w:val="uk-UA"/>
              </w:rPr>
              <w:t>Зазначені колізії можуть</w:t>
            </w:r>
            <w:r w:rsidRPr="00073F81">
              <w:rPr>
                <w:sz w:val="24"/>
                <w:szCs w:val="24"/>
                <w:lang w:val="uk-UA"/>
              </w:rPr>
              <w:t xml:space="preserve"> створити ситуацію, </w:t>
            </w:r>
            <w:r>
              <w:rPr>
                <w:sz w:val="24"/>
                <w:szCs w:val="24"/>
                <w:lang w:val="uk-UA"/>
              </w:rPr>
              <w:t>за якої</w:t>
            </w:r>
            <w:r w:rsidRPr="00073F81">
              <w:rPr>
                <w:sz w:val="24"/>
                <w:szCs w:val="24"/>
                <w:lang w:val="uk-UA"/>
              </w:rPr>
              <w:t xml:space="preserve"> на підставі одних норм громадяни вимагатимуть реалізації свого права на приватизацію житла, а на підставі інших норм їм у </w:t>
            </w:r>
            <w:r>
              <w:rPr>
                <w:sz w:val="24"/>
                <w:szCs w:val="24"/>
                <w:lang w:val="uk-UA"/>
              </w:rPr>
              <w:t>реалізації цього права</w:t>
            </w:r>
            <w:r w:rsidRPr="00073F81">
              <w:rPr>
                <w:sz w:val="24"/>
                <w:szCs w:val="24"/>
                <w:lang w:val="uk-UA"/>
              </w:rPr>
              <w:t xml:space="preserve"> відмовлятимуть.  Користуючись тим, що громадянам буде важко реалізувати задеклароване право, уповноважені на вирішення приватизаційних питань суб’єкти можуть вимага</w:t>
            </w:r>
            <w:r>
              <w:rPr>
                <w:sz w:val="24"/>
                <w:szCs w:val="24"/>
                <w:lang w:val="uk-UA"/>
              </w:rPr>
              <w:t xml:space="preserve">ти від них неправомірну вигоду </w:t>
            </w:r>
            <w:r w:rsidRPr="00073F81">
              <w:rPr>
                <w:sz w:val="24"/>
                <w:szCs w:val="24"/>
                <w:lang w:val="uk-UA"/>
              </w:rPr>
              <w:t>за вирішення приватизаційних питань на їх користь.</w:t>
            </w:r>
          </w:p>
        </w:tc>
      </w:tr>
      <w:tr w:rsidR="00A16A74" w:rsidRPr="00B9319E" w:rsidTr="006D51AB">
        <w:trPr>
          <w:trHeight w:val="1380"/>
        </w:trPr>
        <w:tc>
          <w:tcPr>
            <w:tcW w:w="2088" w:type="dxa"/>
          </w:tcPr>
          <w:p w:rsidR="00A16A74" w:rsidRDefault="00A16A74" w:rsidP="00A16A74">
            <w:pPr>
              <w:spacing w:after="0" w:line="240" w:lineRule="auto"/>
              <w:rPr>
                <w:sz w:val="24"/>
                <w:szCs w:val="24"/>
                <w:lang w:val="uk-UA"/>
              </w:rPr>
            </w:pPr>
            <w:proofErr w:type="spellStart"/>
            <w:r>
              <w:rPr>
                <w:sz w:val="24"/>
                <w:szCs w:val="24"/>
                <w:lang w:val="uk-UA"/>
              </w:rPr>
              <w:t>Абз</w:t>
            </w:r>
            <w:proofErr w:type="spellEnd"/>
            <w:r>
              <w:rPr>
                <w:sz w:val="24"/>
                <w:szCs w:val="24"/>
                <w:lang w:val="uk-UA"/>
              </w:rPr>
              <w:t xml:space="preserve">. 2 частини 2 ст. 4 Закону України "Про </w:t>
            </w:r>
            <w:r w:rsidRPr="00953F77">
              <w:rPr>
                <w:sz w:val="24"/>
                <w:szCs w:val="24"/>
                <w:lang w:val="uk-UA"/>
              </w:rPr>
              <w:t>забезпечення реалізації житло</w:t>
            </w:r>
            <w:r>
              <w:rPr>
                <w:sz w:val="24"/>
                <w:szCs w:val="24"/>
                <w:lang w:val="uk-UA"/>
              </w:rPr>
              <w:t xml:space="preserve">вих прав мешканців гуртожитків" в </w:t>
            </w:r>
            <w:r>
              <w:rPr>
                <w:sz w:val="24"/>
                <w:szCs w:val="24"/>
                <w:lang w:val="uk-UA"/>
              </w:rPr>
              <w:lastRenderedPageBreak/>
              <w:t>запропонованій</w:t>
            </w:r>
          </w:p>
          <w:p w:rsidR="00A16A74" w:rsidRPr="00653095" w:rsidRDefault="00A16A74" w:rsidP="00A16A74">
            <w:pPr>
              <w:spacing w:after="0" w:line="240" w:lineRule="auto"/>
              <w:rPr>
                <w:sz w:val="24"/>
                <w:szCs w:val="24"/>
                <w:lang w:val="uk-UA"/>
              </w:rPr>
            </w:pPr>
            <w:r>
              <w:rPr>
                <w:sz w:val="24"/>
                <w:szCs w:val="24"/>
                <w:lang w:val="uk-UA"/>
              </w:rPr>
              <w:t>редакції</w:t>
            </w:r>
          </w:p>
        </w:tc>
        <w:tc>
          <w:tcPr>
            <w:tcW w:w="5220" w:type="dxa"/>
          </w:tcPr>
          <w:p w:rsidR="00A16A74" w:rsidRDefault="00A16A74" w:rsidP="00A16A74">
            <w:pPr>
              <w:pStyle w:val="HTML"/>
              <w:shd w:val="clear" w:color="auto" w:fill="FFFFFF"/>
              <w:textAlignment w:val="baseline"/>
              <w:rPr>
                <w:rFonts w:ascii="Calibri" w:hAnsi="Calibri"/>
                <w:b/>
                <w:sz w:val="24"/>
                <w:szCs w:val="24"/>
              </w:rPr>
            </w:pPr>
            <w:r>
              <w:rPr>
                <w:rFonts w:ascii="Calibri" w:hAnsi="Calibri"/>
                <w:b/>
                <w:sz w:val="24"/>
                <w:szCs w:val="24"/>
              </w:rPr>
              <w:lastRenderedPageBreak/>
              <w:t>Колізія в законодавстві</w:t>
            </w:r>
            <w:r w:rsidRPr="002860D8">
              <w:rPr>
                <w:rFonts w:ascii="Calibri" w:hAnsi="Calibri"/>
                <w:b/>
                <w:sz w:val="24"/>
                <w:szCs w:val="24"/>
              </w:rPr>
              <w:t xml:space="preserve">. </w:t>
            </w:r>
          </w:p>
          <w:p w:rsidR="00A16A74" w:rsidRPr="00653095" w:rsidRDefault="00A16A74" w:rsidP="00A16A74">
            <w:pPr>
              <w:pStyle w:val="HTML"/>
              <w:shd w:val="clear" w:color="auto" w:fill="FFFFFF"/>
              <w:textAlignment w:val="baseline"/>
              <w:rPr>
                <w:b/>
                <w:sz w:val="24"/>
                <w:szCs w:val="24"/>
              </w:rPr>
            </w:pPr>
            <w:r w:rsidRPr="007E0585">
              <w:rPr>
                <w:rFonts w:ascii="Calibri" w:hAnsi="Calibri"/>
                <w:sz w:val="24"/>
                <w:szCs w:val="24"/>
              </w:rPr>
              <w:t xml:space="preserve">Закон доповнюється положенням про те, що </w:t>
            </w:r>
            <w:r>
              <w:rPr>
                <w:rFonts w:ascii="Calibri" w:hAnsi="Calibri"/>
                <w:sz w:val="24"/>
                <w:szCs w:val="24"/>
              </w:rPr>
              <w:t>ж</w:t>
            </w:r>
            <w:r w:rsidRPr="005B5CAA">
              <w:rPr>
                <w:rFonts w:ascii="Calibri" w:hAnsi="Calibri"/>
                <w:sz w:val="24"/>
                <w:szCs w:val="24"/>
              </w:rPr>
              <w:t xml:space="preserve">итлові приміщення у гуртожитках державної форми власності, в яких проживають громадяни, що відповідно до частини </w:t>
            </w:r>
            <w:r>
              <w:rPr>
                <w:rFonts w:ascii="Calibri" w:hAnsi="Calibri"/>
                <w:sz w:val="24"/>
                <w:szCs w:val="24"/>
              </w:rPr>
              <w:t>3</w:t>
            </w:r>
            <w:r w:rsidRPr="005B5CAA">
              <w:rPr>
                <w:rFonts w:ascii="Calibri" w:hAnsi="Calibri"/>
                <w:sz w:val="24"/>
                <w:szCs w:val="24"/>
              </w:rPr>
              <w:t xml:space="preserve"> статті 1 Закону мають право реалізувати конституційне право на житло відповідно до цього Закону, можуть бути приватизовані цими громадянами </w:t>
            </w:r>
            <w:r w:rsidRPr="005B5CAA">
              <w:rPr>
                <w:rFonts w:ascii="Calibri" w:hAnsi="Calibri"/>
                <w:sz w:val="24"/>
                <w:szCs w:val="24"/>
              </w:rPr>
              <w:lastRenderedPageBreak/>
              <w:t>без передачі цих гуртожитків у власність відповідної територіальної громади</w:t>
            </w:r>
            <w:r>
              <w:rPr>
                <w:rFonts w:ascii="Calibri" w:hAnsi="Calibri"/>
                <w:sz w:val="24"/>
                <w:szCs w:val="24"/>
              </w:rPr>
              <w:t>. Це суперечить абзацу 1 частини 3 цього ж Закону, де зазначається, що на такі гуртожитки Закон взагалі не поширює свою дію.</w:t>
            </w:r>
          </w:p>
        </w:tc>
        <w:tc>
          <w:tcPr>
            <w:tcW w:w="2260" w:type="dxa"/>
            <w:vMerge/>
          </w:tcPr>
          <w:p w:rsidR="00A16A74" w:rsidRPr="00507DF4" w:rsidRDefault="00A16A74" w:rsidP="006D51AB">
            <w:pPr>
              <w:spacing w:after="0" w:line="240" w:lineRule="auto"/>
              <w:rPr>
                <w:sz w:val="24"/>
                <w:szCs w:val="24"/>
                <w:lang w:val="uk-UA"/>
              </w:rPr>
            </w:pPr>
          </w:p>
        </w:tc>
      </w:tr>
    </w:tbl>
    <w:p w:rsidR="00584FE3" w:rsidRPr="001E2478" w:rsidRDefault="00584FE3" w:rsidP="00584FE3">
      <w:pPr>
        <w:pStyle w:val="1"/>
        <w:numPr>
          <w:ilvl w:val="0"/>
          <w:numId w:val="2"/>
        </w:numPr>
        <w:spacing w:before="120" w:after="0" w:line="240" w:lineRule="auto"/>
        <w:contextualSpacing w:val="0"/>
        <w:rPr>
          <w:b/>
          <w:sz w:val="24"/>
          <w:szCs w:val="24"/>
          <w:lang w:val="uk-UA"/>
        </w:rPr>
      </w:pPr>
      <w:r w:rsidRPr="001E2478">
        <w:rPr>
          <w:b/>
          <w:sz w:val="24"/>
          <w:szCs w:val="24"/>
          <w:lang w:val="uk-UA"/>
        </w:rPr>
        <w:lastRenderedPageBreak/>
        <w:t xml:space="preserve">Суб’єкти корупційних відносин </w:t>
      </w:r>
    </w:p>
    <w:p w:rsidR="008D44DC" w:rsidRDefault="00584FE3" w:rsidP="008D44DC">
      <w:pPr>
        <w:spacing w:before="120" w:after="0" w:line="240" w:lineRule="auto"/>
        <w:jc w:val="both"/>
        <w:rPr>
          <w:sz w:val="24"/>
          <w:szCs w:val="24"/>
          <w:lang w:val="uk-UA"/>
        </w:rPr>
      </w:pPr>
      <w:r w:rsidRPr="001E2478">
        <w:rPr>
          <w:b/>
          <w:i/>
          <w:sz w:val="24"/>
          <w:szCs w:val="24"/>
          <w:lang w:val="uk-UA"/>
        </w:rPr>
        <w:t>Хто може отримувати корупційні вигоди:</w:t>
      </w:r>
      <w:r w:rsidRPr="001E2478">
        <w:rPr>
          <w:sz w:val="24"/>
          <w:szCs w:val="24"/>
          <w:lang w:val="uk-UA"/>
        </w:rPr>
        <w:t xml:space="preserve"> </w:t>
      </w:r>
      <w:r w:rsidR="008D44DC">
        <w:rPr>
          <w:sz w:val="24"/>
          <w:szCs w:val="24"/>
          <w:lang w:val="uk-UA"/>
        </w:rPr>
        <w:t>Посадові особи органів приватизації.</w:t>
      </w:r>
    </w:p>
    <w:p w:rsidR="00584FE3" w:rsidRPr="001E2478" w:rsidRDefault="00584FE3" w:rsidP="00584FE3">
      <w:pPr>
        <w:spacing w:before="120" w:after="0" w:line="240" w:lineRule="auto"/>
        <w:rPr>
          <w:sz w:val="24"/>
          <w:szCs w:val="24"/>
          <w:lang w:val="uk-UA"/>
        </w:rPr>
      </w:pPr>
      <w:r w:rsidRPr="001E2478">
        <w:rPr>
          <w:b/>
          <w:i/>
          <w:sz w:val="24"/>
          <w:szCs w:val="24"/>
          <w:lang w:val="uk-UA"/>
        </w:rPr>
        <w:t>Методологія оцінки обсягу корупційної вигоди та результати оцінки:</w:t>
      </w:r>
      <w:r w:rsidRPr="001E2478">
        <w:rPr>
          <w:sz w:val="24"/>
          <w:szCs w:val="24"/>
          <w:lang w:val="uk-UA"/>
        </w:rPr>
        <w:t xml:space="preserve"> </w:t>
      </w:r>
      <w:r>
        <w:rPr>
          <w:sz w:val="24"/>
          <w:szCs w:val="24"/>
          <w:lang w:val="uk-UA"/>
        </w:rPr>
        <w:t>важко оцінити</w:t>
      </w:r>
    </w:p>
    <w:p w:rsidR="008D44DC" w:rsidRPr="00953F77" w:rsidRDefault="00584FE3" w:rsidP="008D44DC">
      <w:pPr>
        <w:pStyle w:val="1"/>
        <w:spacing w:before="120" w:after="0" w:line="240" w:lineRule="auto"/>
        <w:ind w:left="0"/>
        <w:jc w:val="both"/>
        <w:rPr>
          <w:sz w:val="24"/>
          <w:szCs w:val="24"/>
          <w:lang w:val="uk-UA"/>
        </w:rPr>
      </w:pPr>
      <w:r w:rsidRPr="001E2478">
        <w:rPr>
          <w:b/>
          <w:i/>
          <w:sz w:val="24"/>
          <w:szCs w:val="24"/>
          <w:lang w:val="uk-UA"/>
        </w:rPr>
        <w:t xml:space="preserve">Хто платитиме корупційні внески: </w:t>
      </w:r>
      <w:r w:rsidR="008D44DC" w:rsidRPr="00953F77">
        <w:rPr>
          <w:sz w:val="24"/>
          <w:szCs w:val="24"/>
          <w:lang w:val="uk-UA"/>
        </w:rPr>
        <w:t>Громадяни, за</w:t>
      </w:r>
      <w:r w:rsidR="008D44DC">
        <w:rPr>
          <w:sz w:val="24"/>
          <w:szCs w:val="24"/>
          <w:lang w:val="uk-UA"/>
        </w:rPr>
        <w:t>цікавлені</w:t>
      </w:r>
      <w:r w:rsidR="008D44DC" w:rsidRPr="00953F77">
        <w:rPr>
          <w:sz w:val="24"/>
          <w:szCs w:val="24"/>
          <w:lang w:val="uk-UA"/>
        </w:rPr>
        <w:t xml:space="preserve"> в приватизації </w:t>
      </w:r>
      <w:r w:rsidR="008D44DC">
        <w:rPr>
          <w:sz w:val="24"/>
          <w:szCs w:val="24"/>
          <w:lang w:val="uk-UA"/>
        </w:rPr>
        <w:t xml:space="preserve">житлових </w:t>
      </w:r>
      <w:r w:rsidR="008D44DC" w:rsidRPr="00953F77">
        <w:rPr>
          <w:sz w:val="24"/>
          <w:szCs w:val="24"/>
          <w:lang w:val="uk-UA"/>
        </w:rPr>
        <w:t>приміщень гуртожитків, які перебувають у господарському віданні чи в оперативному управлінні військових частин, закладів, установ та організацій Збройних Сил України, Міністерства внутрішніх справ України та державних навчальних закладів.</w:t>
      </w:r>
    </w:p>
    <w:p w:rsidR="00584FE3" w:rsidRPr="001E2478" w:rsidRDefault="00584FE3" w:rsidP="00584FE3">
      <w:pPr>
        <w:spacing w:before="120" w:after="0" w:line="240" w:lineRule="auto"/>
        <w:rPr>
          <w:sz w:val="24"/>
          <w:szCs w:val="24"/>
          <w:lang w:val="uk-UA"/>
        </w:rPr>
      </w:pPr>
      <w:r w:rsidRPr="001E2478">
        <w:rPr>
          <w:b/>
          <w:i/>
          <w:sz w:val="24"/>
          <w:szCs w:val="24"/>
          <w:lang w:val="uk-UA"/>
        </w:rPr>
        <w:t>Методологія оцінки обсягу корупційних втрат та результати оцінки:</w:t>
      </w:r>
      <w:r w:rsidRPr="001E2478">
        <w:rPr>
          <w:sz w:val="24"/>
          <w:szCs w:val="24"/>
          <w:lang w:val="uk-UA"/>
        </w:rPr>
        <w:t xml:space="preserve"> </w:t>
      </w:r>
      <w:r>
        <w:rPr>
          <w:sz w:val="24"/>
          <w:szCs w:val="24"/>
          <w:lang w:val="uk-UA"/>
        </w:rPr>
        <w:t>важко оцінити</w:t>
      </w:r>
    </w:p>
    <w:p w:rsidR="00584FE3" w:rsidRPr="001E2478" w:rsidRDefault="00584FE3" w:rsidP="00584FE3">
      <w:pPr>
        <w:pStyle w:val="1"/>
        <w:numPr>
          <w:ilvl w:val="0"/>
          <w:numId w:val="2"/>
        </w:numPr>
        <w:spacing w:before="120" w:after="0" w:line="240" w:lineRule="auto"/>
        <w:ind w:left="714" w:hanging="357"/>
        <w:contextualSpacing w:val="0"/>
        <w:rPr>
          <w:b/>
          <w:sz w:val="24"/>
          <w:szCs w:val="24"/>
          <w:lang w:val="uk-UA"/>
        </w:rPr>
      </w:pPr>
      <w:r w:rsidRPr="001E2478">
        <w:rPr>
          <w:b/>
          <w:sz w:val="24"/>
          <w:szCs w:val="24"/>
          <w:lang w:val="uk-UA"/>
        </w:rPr>
        <w:t xml:space="preserve">Висновки та рекомендації </w:t>
      </w:r>
    </w:p>
    <w:p w:rsidR="008D44DC" w:rsidRDefault="008D44DC" w:rsidP="008D44DC">
      <w:pPr>
        <w:pStyle w:val="1"/>
        <w:spacing w:before="120" w:after="0" w:line="240" w:lineRule="auto"/>
        <w:ind w:left="0"/>
        <w:jc w:val="both"/>
        <w:rPr>
          <w:sz w:val="24"/>
          <w:szCs w:val="24"/>
          <w:lang w:val="uk-UA"/>
        </w:rPr>
      </w:pPr>
    </w:p>
    <w:p w:rsidR="008D44DC" w:rsidRPr="00653095" w:rsidRDefault="008D44DC" w:rsidP="008D44DC">
      <w:pPr>
        <w:pStyle w:val="1"/>
        <w:spacing w:before="120" w:after="0" w:line="240" w:lineRule="auto"/>
        <w:ind w:left="0"/>
        <w:jc w:val="both"/>
        <w:rPr>
          <w:sz w:val="24"/>
          <w:szCs w:val="24"/>
          <w:lang w:val="uk-UA"/>
        </w:rPr>
      </w:pPr>
      <w:r w:rsidRPr="00653095">
        <w:rPr>
          <w:sz w:val="24"/>
          <w:szCs w:val="24"/>
          <w:lang w:val="uk-UA"/>
        </w:rPr>
        <w:t>У з</w:t>
      </w:r>
      <w:r>
        <w:rPr>
          <w:sz w:val="24"/>
          <w:szCs w:val="24"/>
          <w:lang w:val="uk-UA"/>
        </w:rPr>
        <w:t>аконопроекті виявлено корупційні ризики</w:t>
      </w:r>
      <w:r w:rsidRPr="00653095">
        <w:rPr>
          <w:sz w:val="24"/>
          <w:szCs w:val="24"/>
          <w:lang w:val="uk-UA"/>
        </w:rPr>
        <w:t>, пов’</w:t>
      </w:r>
      <w:r>
        <w:rPr>
          <w:sz w:val="24"/>
          <w:szCs w:val="24"/>
          <w:lang w:val="uk-UA"/>
        </w:rPr>
        <w:t>язані зі створенням колізій в законодавстві</w:t>
      </w:r>
      <w:r w:rsidRPr="00653095">
        <w:rPr>
          <w:sz w:val="24"/>
          <w:szCs w:val="24"/>
          <w:lang w:val="uk-UA"/>
        </w:rPr>
        <w:t>.</w:t>
      </w:r>
    </w:p>
    <w:p w:rsidR="008D44DC" w:rsidRPr="008D44DC" w:rsidRDefault="008D44DC" w:rsidP="008D44DC">
      <w:pPr>
        <w:spacing w:before="120" w:after="0" w:line="240" w:lineRule="auto"/>
        <w:rPr>
          <w:sz w:val="24"/>
          <w:szCs w:val="24"/>
          <w:lang w:val="uk-UA"/>
        </w:rPr>
      </w:pPr>
    </w:p>
    <w:p w:rsidR="008D44DC" w:rsidRPr="008D44DC" w:rsidRDefault="008D44DC" w:rsidP="008D44DC">
      <w:pPr>
        <w:spacing w:before="120" w:after="0" w:line="240" w:lineRule="auto"/>
        <w:jc w:val="center"/>
        <w:rPr>
          <w:sz w:val="24"/>
          <w:szCs w:val="24"/>
          <w:lang w:val="uk-UA"/>
        </w:rPr>
      </w:pPr>
      <w:r w:rsidRPr="008D44DC">
        <w:rPr>
          <w:b/>
          <w:sz w:val="24"/>
          <w:szCs w:val="24"/>
          <w:lang w:val="uk-UA"/>
        </w:rPr>
        <w:t>З урахуванням цього висновку, Громадська експертна рада рекомендує доопрацювати законопроект.</w:t>
      </w:r>
    </w:p>
    <w:p w:rsidR="00584FE3" w:rsidRPr="00653095" w:rsidRDefault="00584FE3" w:rsidP="00584FE3">
      <w:pPr>
        <w:spacing w:before="120" w:after="0" w:line="240" w:lineRule="auto"/>
        <w:jc w:val="center"/>
        <w:rPr>
          <w:sz w:val="24"/>
          <w:szCs w:val="24"/>
          <w:lang w:val="uk-UA"/>
        </w:rPr>
      </w:pPr>
      <w:r w:rsidRPr="00653095">
        <w:rPr>
          <w:b/>
          <w:sz w:val="24"/>
          <w:szCs w:val="24"/>
          <w:lang w:val="uk-UA"/>
        </w:rPr>
        <w:t>.</w:t>
      </w:r>
    </w:p>
    <w:p w:rsidR="00584FE3" w:rsidRDefault="00584FE3" w:rsidP="00584FE3">
      <w:pPr>
        <w:rPr>
          <w:sz w:val="24"/>
          <w:szCs w:val="24"/>
          <w:lang w:val="uk-UA"/>
        </w:rPr>
      </w:pPr>
    </w:p>
    <w:p w:rsidR="006D51AB" w:rsidRPr="00584FE3" w:rsidRDefault="006D51AB">
      <w:pPr>
        <w:rPr>
          <w:lang w:val="uk-UA"/>
        </w:rPr>
      </w:pPr>
    </w:p>
    <w:sectPr w:rsidR="006D51AB" w:rsidRPr="00584FE3" w:rsidSect="006D51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47EDB"/>
    <w:multiLevelType w:val="hybridMultilevel"/>
    <w:tmpl w:val="57D87358"/>
    <w:lvl w:ilvl="0" w:tplc="998CF57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57B6268"/>
    <w:multiLevelType w:val="hybridMultilevel"/>
    <w:tmpl w:val="A43654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4FE3"/>
    <w:rsid w:val="00333766"/>
    <w:rsid w:val="00336578"/>
    <w:rsid w:val="00486F42"/>
    <w:rsid w:val="00584FE3"/>
    <w:rsid w:val="006D51AB"/>
    <w:rsid w:val="006F054B"/>
    <w:rsid w:val="006F5C86"/>
    <w:rsid w:val="00740E2C"/>
    <w:rsid w:val="007A6856"/>
    <w:rsid w:val="00842DBD"/>
    <w:rsid w:val="008D44DC"/>
    <w:rsid w:val="008E1091"/>
    <w:rsid w:val="009460CE"/>
    <w:rsid w:val="009B1377"/>
    <w:rsid w:val="00A16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FE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584FE3"/>
    <w:rPr>
      <w:rFonts w:cs="Times New Roman"/>
      <w:color w:val="0000FF"/>
      <w:u w:val="single"/>
    </w:rPr>
  </w:style>
  <w:style w:type="paragraph" w:styleId="a4">
    <w:name w:val="header"/>
    <w:basedOn w:val="a"/>
    <w:link w:val="a5"/>
    <w:rsid w:val="00584FE3"/>
    <w:pPr>
      <w:tabs>
        <w:tab w:val="center" w:pos="4677"/>
        <w:tab w:val="right" w:pos="9355"/>
      </w:tabs>
      <w:spacing w:after="0" w:line="240" w:lineRule="auto"/>
    </w:pPr>
    <w:rPr>
      <w:rFonts w:ascii="Arial" w:hAnsi="Arial" w:cs="Arial"/>
      <w:color w:val="000000"/>
      <w:spacing w:val="1"/>
      <w:w w:val="93"/>
      <w:sz w:val="28"/>
      <w:szCs w:val="24"/>
      <w:lang w:val="uk-UA" w:eastAsia="ru-RU"/>
    </w:rPr>
  </w:style>
  <w:style w:type="character" w:customStyle="1" w:styleId="a5">
    <w:name w:val="Верхний колонтитул Знак"/>
    <w:basedOn w:val="a0"/>
    <w:link w:val="a4"/>
    <w:rsid w:val="00584FE3"/>
    <w:rPr>
      <w:rFonts w:ascii="Arial" w:eastAsia="Times New Roman" w:hAnsi="Arial" w:cs="Arial"/>
      <w:color w:val="000000"/>
      <w:spacing w:val="1"/>
      <w:w w:val="93"/>
      <w:sz w:val="28"/>
      <w:szCs w:val="24"/>
      <w:lang w:val="uk-UA" w:eastAsia="ru-RU"/>
    </w:rPr>
  </w:style>
  <w:style w:type="paragraph" w:customStyle="1" w:styleId="1">
    <w:name w:val="Абзац списка1"/>
    <w:basedOn w:val="a"/>
    <w:rsid w:val="00584FE3"/>
    <w:pPr>
      <w:ind w:left="720"/>
      <w:contextualSpacing/>
    </w:pPr>
  </w:style>
  <w:style w:type="paragraph" w:styleId="HTML">
    <w:name w:val="HTML Preformatted"/>
    <w:basedOn w:val="a"/>
    <w:link w:val="HTML0"/>
    <w:rsid w:val="0058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uk-UA" w:eastAsia="uk-UA"/>
    </w:rPr>
  </w:style>
  <w:style w:type="character" w:customStyle="1" w:styleId="HTML0">
    <w:name w:val="Стандартный HTML Знак"/>
    <w:basedOn w:val="a0"/>
    <w:link w:val="HTML"/>
    <w:rsid w:val="00584FE3"/>
    <w:rPr>
      <w:rFonts w:ascii="Courier New" w:eastAsia="Calibri" w:hAnsi="Courier New" w:cs="Courier New"/>
      <w:sz w:val="20"/>
      <w:szCs w:val="20"/>
      <w:lang w:val="uk-UA" w:eastAsia="uk-UA"/>
    </w:rPr>
  </w:style>
  <w:style w:type="paragraph" w:styleId="a6">
    <w:name w:val="footer"/>
    <w:basedOn w:val="a"/>
    <w:link w:val="a7"/>
    <w:rsid w:val="006F5C86"/>
    <w:pPr>
      <w:tabs>
        <w:tab w:val="center" w:pos="4677"/>
        <w:tab w:val="right" w:pos="9355"/>
      </w:tabs>
      <w:spacing w:after="0" w:line="240" w:lineRule="auto"/>
    </w:pPr>
    <w:rPr>
      <w:sz w:val="20"/>
      <w:szCs w:val="20"/>
      <w:lang w:val="uk-UA" w:eastAsia="uk-UA"/>
    </w:rPr>
  </w:style>
  <w:style w:type="character" w:customStyle="1" w:styleId="a7">
    <w:name w:val="Нижний колонтитул Знак"/>
    <w:basedOn w:val="a0"/>
    <w:link w:val="a6"/>
    <w:rsid w:val="006F5C86"/>
    <w:rPr>
      <w:rFonts w:ascii="Calibri" w:eastAsia="Times New Roman" w:hAnsi="Calibri" w:cs="Times New Roman"/>
      <w:sz w:val="20"/>
      <w:szCs w:val="20"/>
      <w:lang w:val="uk-UA" w:eastAsia="uk-UA"/>
    </w:rPr>
  </w:style>
  <w:style w:type="table" w:styleId="a8">
    <w:name w:val="Table Grid"/>
    <w:basedOn w:val="a1"/>
    <w:rsid w:val="00A16A74"/>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D44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1.c1.rada.gov.ua/pls/zweb2/webproc4_1?pf3511=4922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5</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dc:creator>
  <cp:lastModifiedBy>grain</cp:lastModifiedBy>
  <cp:revision>9</cp:revision>
  <dcterms:created xsi:type="dcterms:W3CDTF">2013-12-26T20:17:00Z</dcterms:created>
  <dcterms:modified xsi:type="dcterms:W3CDTF">2014-01-08T19:06:00Z</dcterms:modified>
</cp:coreProperties>
</file>