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2B" w:rsidRDefault="00674E2B" w:rsidP="00674E2B">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674E2B" w:rsidRDefault="00674E2B" w:rsidP="00674E2B">
      <w:pPr>
        <w:jc w:val="center"/>
        <w:rPr>
          <w:b/>
          <w:sz w:val="28"/>
          <w:szCs w:val="28"/>
          <w:lang w:val="uk-UA"/>
        </w:rPr>
      </w:pPr>
      <w:r w:rsidRPr="00265D18">
        <w:rPr>
          <w:b/>
          <w:sz w:val="28"/>
          <w:szCs w:val="28"/>
          <w:lang w:val="uk-UA"/>
        </w:rPr>
        <w:t>Громадська експертна рада</w:t>
      </w:r>
    </w:p>
    <w:p w:rsidR="00674E2B" w:rsidRDefault="00674E2B" w:rsidP="00674E2B">
      <w:pPr>
        <w:jc w:val="center"/>
        <w:rPr>
          <w:b/>
          <w:sz w:val="26"/>
          <w:szCs w:val="26"/>
          <w:lang w:val="uk-UA"/>
        </w:rPr>
      </w:pPr>
    </w:p>
    <w:p w:rsidR="00674E2B" w:rsidRPr="00E55B93" w:rsidRDefault="00674E2B" w:rsidP="00674E2B">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r>
        <w:rPr>
          <w:b/>
          <w:sz w:val="26"/>
          <w:szCs w:val="26"/>
          <w:lang w:val="uk-UA"/>
        </w:rPr>
        <w:t>законопроектів</w:t>
      </w:r>
    </w:p>
    <w:p w:rsidR="00674E2B" w:rsidRDefault="00674E2B" w:rsidP="00674E2B">
      <w:pPr>
        <w:spacing w:after="0" w:line="240" w:lineRule="auto"/>
        <w:rPr>
          <w:sz w:val="24"/>
          <w:szCs w:val="24"/>
          <w:lang w:val="uk-UA"/>
        </w:rPr>
      </w:pPr>
    </w:p>
    <w:tbl>
      <w:tblPr>
        <w:tblW w:w="0" w:type="auto"/>
        <w:tblLook w:val="00A0"/>
      </w:tblPr>
      <w:tblGrid>
        <w:gridCol w:w="3085"/>
        <w:gridCol w:w="6486"/>
      </w:tblGrid>
      <w:tr w:rsidR="00674E2B" w:rsidRPr="00B9319E" w:rsidTr="00EE45D5">
        <w:tc>
          <w:tcPr>
            <w:tcW w:w="3085" w:type="dxa"/>
            <w:tcBorders>
              <w:bottom w:val="single" w:sz="4" w:space="0" w:color="auto"/>
            </w:tcBorders>
          </w:tcPr>
          <w:p w:rsidR="00674E2B" w:rsidRPr="00B9319E" w:rsidRDefault="00674E2B" w:rsidP="00EE45D5">
            <w:pPr>
              <w:spacing w:after="0" w:line="240" w:lineRule="auto"/>
              <w:rPr>
                <w:b/>
                <w:sz w:val="24"/>
                <w:szCs w:val="24"/>
                <w:lang w:val="uk-UA"/>
              </w:rPr>
            </w:pPr>
            <w:r w:rsidRPr="00B9319E">
              <w:rPr>
                <w:b/>
                <w:sz w:val="24"/>
                <w:szCs w:val="24"/>
                <w:lang w:val="uk-UA"/>
              </w:rPr>
              <w:t>Назва законопроекту</w:t>
            </w:r>
          </w:p>
        </w:tc>
        <w:tc>
          <w:tcPr>
            <w:tcW w:w="6486" w:type="dxa"/>
            <w:tcBorders>
              <w:bottom w:val="single" w:sz="4" w:space="0" w:color="auto"/>
            </w:tcBorders>
          </w:tcPr>
          <w:p w:rsidR="00674E2B" w:rsidRPr="00931A67" w:rsidRDefault="003C0C2B" w:rsidP="00EE45D5">
            <w:pPr>
              <w:pStyle w:val="a4"/>
              <w:tabs>
                <w:tab w:val="clear" w:pos="4677"/>
                <w:tab w:val="clear" w:pos="9355"/>
              </w:tabs>
              <w:ind w:right="-40"/>
              <w:rPr>
                <w:rFonts w:asciiTheme="minorHAnsi" w:hAnsiTheme="minorHAnsi"/>
                <w:sz w:val="24"/>
                <w:lang w:val="ru-RU"/>
              </w:rPr>
            </w:pPr>
            <w:r>
              <w:rPr>
                <w:rFonts w:asciiTheme="minorHAnsi" w:hAnsiTheme="minorHAnsi"/>
                <w:sz w:val="24"/>
                <w:lang w:val="ru-RU"/>
              </w:rPr>
              <w:t>П</w:t>
            </w:r>
            <w:proofErr w:type="spellStart"/>
            <w:r w:rsidR="00931A67" w:rsidRPr="00931A67">
              <w:rPr>
                <w:rFonts w:asciiTheme="minorHAnsi" w:hAnsiTheme="minorHAnsi"/>
                <w:sz w:val="24"/>
              </w:rPr>
              <w:t>ро</w:t>
            </w:r>
            <w:proofErr w:type="spellEnd"/>
            <w:r w:rsidR="00931A67" w:rsidRPr="00931A67">
              <w:rPr>
                <w:rFonts w:asciiTheme="minorHAnsi" w:hAnsiTheme="minorHAnsi"/>
                <w:sz w:val="24"/>
              </w:rPr>
              <w:t xml:space="preserve"> внесення змін до деяких законодавчих актів України щодо удосконалення захисту прав споживачі</w:t>
            </w:r>
            <w:proofErr w:type="gramStart"/>
            <w:r w:rsidR="00931A67" w:rsidRPr="00931A67">
              <w:rPr>
                <w:rFonts w:asciiTheme="minorHAnsi" w:hAnsiTheme="minorHAnsi"/>
                <w:sz w:val="24"/>
              </w:rPr>
              <w:t>в</w:t>
            </w:r>
            <w:proofErr w:type="gramEnd"/>
            <w:r w:rsidR="00931A67" w:rsidRPr="00931A67">
              <w:rPr>
                <w:rFonts w:asciiTheme="minorHAnsi" w:hAnsiTheme="minorHAnsi"/>
                <w:sz w:val="24"/>
              </w:rPr>
              <w:t xml:space="preserve"> при придбанні товару неналежної якості</w:t>
            </w:r>
          </w:p>
        </w:tc>
      </w:tr>
      <w:tr w:rsidR="00674E2B" w:rsidRPr="00B9319E" w:rsidTr="00EE45D5">
        <w:tc>
          <w:tcPr>
            <w:tcW w:w="3085" w:type="dxa"/>
            <w:tcBorders>
              <w:top w:val="single" w:sz="4" w:space="0" w:color="auto"/>
              <w:bottom w:val="single" w:sz="4" w:space="0" w:color="auto"/>
            </w:tcBorders>
          </w:tcPr>
          <w:p w:rsidR="00674E2B" w:rsidRPr="00B9319E" w:rsidRDefault="00674E2B" w:rsidP="00EE45D5">
            <w:pPr>
              <w:tabs>
                <w:tab w:val="left" w:pos="2085"/>
              </w:tabs>
              <w:spacing w:after="0" w:line="240" w:lineRule="auto"/>
              <w:rPr>
                <w:b/>
                <w:sz w:val="24"/>
                <w:szCs w:val="24"/>
                <w:lang w:val="uk-UA"/>
              </w:rPr>
            </w:pPr>
            <w:r w:rsidRPr="00B9319E">
              <w:rPr>
                <w:b/>
                <w:sz w:val="24"/>
                <w:szCs w:val="24"/>
                <w:lang w:val="uk-UA"/>
              </w:rPr>
              <w:t>Номер законопроекту</w:t>
            </w:r>
          </w:p>
        </w:tc>
        <w:tc>
          <w:tcPr>
            <w:tcW w:w="6486" w:type="dxa"/>
            <w:tcBorders>
              <w:top w:val="single" w:sz="4" w:space="0" w:color="auto"/>
              <w:bottom w:val="single" w:sz="4" w:space="0" w:color="auto"/>
            </w:tcBorders>
          </w:tcPr>
          <w:p w:rsidR="00674E2B" w:rsidRPr="00B9319E" w:rsidRDefault="00674E2B" w:rsidP="00EE45D5">
            <w:pPr>
              <w:spacing w:after="0" w:line="240" w:lineRule="auto"/>
              <w:rPr>
                <w:sz w:val="24"/>
                <w:szCs w:val="24"/>
                <w:lang w:val="uk-UA"/>
              </w:rPr>
            </w:pPr>
            <w:r>
              <w:rPr>
                <w:sz w:val="24"/>
                <w:szCs w:val="24"/>
                <w:lang w:val="uk-UA"/>
              </w:rPr>
              <w:t>3705</w:t>
            </w:r>
          </w:p>
        </w:tc>
      </w:tr>
      <w:tr w:rsidR="00674E2B" w:rsidRPr="00B9319E" w:rsidTr="00EE45D5">
        <w:tc>
          <w:tcPr>
            <w:tcW w:w="3085" w:type="dxa"/>
            <w:tcBorders>
              <w:top w:val="single" w:sz="4" w:space="0" w:color="auto"/>
              <w:bottom w:val="single" w:sz="4" w:space="0" w:color="auto"/>
            </w:tcBorders>
          </w:tcPr>
          <w:p w:rsidR="00674E2B" w:rsidRPr="00B9319E" w:rsidRDefault="00674E2B" w:rsidP="00EE45D5">
            <w:pPr>
              <w:spacing w:after="0" w:line="240" w:lineRule="auto"/>
              <w:rPr>
                <w:b/>
                <w:sz w:val="24"/>
                <w:szCs w:val="24"/>
                <w:lang w:val="uk-UA"/>
              </w:rPr>
            </w:pPr>
            <w:r w:rsidRPr="00B9319E">
              <w:rPr>
                <w:b/>
                <w:sz w:val="24"/>
                <w:szCs w:val="24"/>
                <w:lang w:val="uk-UA"/>
              </w:rPr>
              <w:t>Дата реєстрації</w:t>
            </w:r>
          </w:p>
        </w:tc>
        <w:tc>
          <w:tcPr>
            <w:tcW w:w="6486" w:type="dxa"/>
            <w:tcBorders>
              <w:top w:val="single" w:sz="4" w:space="0" w:color="auto"/>
              <w:bottom w:val="single" w:sz="4" w:space="0" w:color="auto"/>
            </w:tcBorders>
          </w:tcPr>
          <w:p w:rsidR="00674E2B" w:rsidRPr="00B9319E" w:rsidRDefault="00931A67" w:rsidP="00EE45D5">
            <w:pPr>
              <w:spacing w:after="0" w:line="240" w:lineRule="auto"/>
              <w:rPr>
                <w:sz w:val="24"/>
                <w:szCs w:val="24"/>
                <w:lang w:val="uk-UA"/>
              </w:rPr>
            </w:pPr>
            <w:r>
              <w:rPr>
                <w:sz w:val="24"/>
                <w:szCs w:val="24"/>
                <w:lang w:val="uk-UA"/>
              </w:rPr>
              <w:t>29.11</w:t>
            </w:r>
            <w:r w:rsidRPr="00653095">
              <w:rPr>
                <w:sz w:val="24"/>
                <w:szCs w:val="24"/>
                <w:lang w:val="uk-UA"/>
              </w:rPr>
              <w:t>.2013</w:t>
            </w:r>
          </w:p>
        </w:tc>
      </w:tr>
      <w:tr w:rsidR="00674E2B" w:rsidRPr="00B9319E" w:rsidTr="00EE45D5">
        <w:tc>
          <w:tcPr>
            <w:tcW w:w="3085" w:type="dxa"/>
            <w:tcBorders>
              <w:top w:val="single" w:sz="4" w:space="0" w:color="auto"/>
              <w:bottom w:val="single" w:sz="4" w:space="0" w:color="auto"/>
            </w:tcBorders>
          </w:tcPr>
          <w:p w:rsidR="00674E2B" w:rsidRPr="00B9319E" w:rsidRDefault="00674E2B" w:rsidP="00EE45D5">
            <w:pPr>
              <w:spacing w:after="0" w:line="240" w:lineRule="auto"/>
              <w:rPr>
                <w:b/>
                <w:sz w:val="24"/>
                <w:szCs w:val="24"/>
                <w:lang w:val="uk-UA"/>
              </w:rPr>
            </w:pPr>
            <w:r w:rsidRPr="00B9319E">
              <w:rPr>
                <w:b/>
                <w:sz w:val="24"/>
                <w:szCs w:val="24"/>
                <w:lang w:val="uk-UA"/>
              </w:rPr>
              <w:t>Автор законопроекту</w:t>
            </w:r>
          </w:p>
        </w:tc>
        <w:tc>
          <w:tcPr>
            <w:tcW w:w="6486" w:type="dxa"/>
            <w:tcBorders>
              <w:top w:val="single" w:sz="4" w:space="0" w:color="auto"/>
              <w:bottom w:val="single" w:sz="4" w:space="0" w:color="auto"/>
            </w:tcBorders>
          </w:tcPr>
          <w:p w:rsidR="00674E2B" w:rsidRPr="00931A67" w:rsidRDefault="00931A67" w:rsidP="00EE45D5">
            <w:pPr>
              <w:spacing w:after="0" w:line="240" w:lineRule="auto"/>
              <w:rPr>
                <w:sz w:val="24"/>
                <w:szCs w:val="24"/>
                <w:lang w:val="uk-UA"/>
              </w:rPr>
            </w:pPr>
            <w:proofErr w:type="spellStart"/>
            <w:r>
              <w:rPr>
                <w:sz w:val="24"/>
                <w:szCs w:val="24"/>
                <w:lang w:val="uk-UA"/>
              </w:rPr>
              <w:t>Князевич</w:t>
            </w:r>
            <w:proofErr w:type="spellEnd"/>
            <w:r>
              <w:rPr>
                <w:sz w:val="24"/>
                <w:szCs w:val="24"/>
                <w:lang w:val="uk-UA"/>
              </w:rPr>
              <w:t xml:space="preserve"> Р. П., народний депутат України, член фракції ВО «Батьківщина»</w:t>
            </w:r>
          </w:p>
        </w:tc>
      </w:tr>
      <w:tr w:rsidR="00931A67" w:rsidRPr="00B9319E" w:rsidTr="00EE45D5">
        <w:trPr>
          <w:trHeight w:val="774"/>
        </w:trPr>
        <w:tc>
          <w:tcPr>
            <w:tcW w:w="3085" w:type="dxa"/>
            <w:tcBorders>
              <w:top w:val="single" w:sz="4" w:space="0" w:color="auto"/>
              <w:bottom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Головний комітет ВРУ</w:t>
            </w:r>
          </w:p>
        </w:tc>
        <w:tc>
          <w:tcPr>
            <w:tcW w:w="6486" w:type="dxa"/>
            <w:tcBorders>
              <w:top w:val="single" w:sz="4" w:space="0" w:color="auto"/>
              <w:bottom w:val="single" w:sz="4" w:space="0" w:color="auto"/>
            </w:tcBorders>
          </w:tcPr>
          <w:p w:rsidR="00931A67" w:rsidRPr="008F5950" w:rsidRDefault="00931A67" w:rsidP="00EE45D5">
            <w:pPr>
              <w:spacing w:after="0" w:line="240" w:lineRule="auto"/>
              <w:rPr>
                <w:sz w:val="24"/>
                <w:szCs w:val="24"/>
                <w:lang w:val="uk-UA"/>
              </w:rPr>
            </w:pPr>
            <w:r w:rsidRPr="00CD00D5">
              <w:rPr>
                <w:sz w:val="24"/>
                <w:szCs w:val="24"/>
                <w:lang w:val="uk-UA"/>
              </w:rPr>
              <w:t xml:space="preserve">Комітет з питань </w:t>
            </w:r>
            <w:r w:rsidRPr="008F5950">
              <w:rPr>
                <w:sz w:val="24"/>
                <w:szCs w:val="24"/>
                <w:lang w:val="uk-UA"/>
              </w:rPr>
              <w:t>правової політики</w:t>
            </w:r>
          </w:p>
        </w:tc>
      </w:tr>
      <w:tr w:rsidR="00931A67" w:rsidRPr="00B9319E" w:rsidTr="00EE45D5">
        <w:tc>
          <w:tcPr>
            <w:tcW w:w="3085" w:type="dxa"/>
            <w:tcBorders>
              <w:top w:val="single" w:sz="4" w:space="0" w:color="auto"/>
              <w:bottom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Етап проходження</w:t>
            </w:r>
          </w:p>
        </w:tc>
        <w:tc>
          <w:tcPr>
            <w:tcW w:w="6486" w:type="dxa"/>
            <w:tcBorders>
              <w:top w:val="single" w:sz="4" w:space="0" w:color="auto"/>
              <w:bottom w:val="single" w:sz="4" w:space="0" w:color="auto"/>
            </w:tcBorders>
          </w:tcPr>
          <w:p w:rsidR="00931A67" w:rsidRPr="00A678B9" w:rsidRDefault="00931A67" w:rsidP="00EE45D5">
            <w:pPr>
              <w:spacing w:after="0" w:line="240" w:lineRule="auto"/>
              <w:rPr>
                <w:sz w:val="24"/>
                <w:szCs w:val="24"/>
                <w:lang w:val="uk-UA"/>
              </w:rPr>
            </w:pPr>
            <w:r>
              <w:rPr>
                <w:sz w:val="24"/>
                <w:szCs w:val="24"/>
                <w:lang w:val="uk-UA"/>
              </w:rPr>
              <w:t>Надано для ознайомлення (03.12</w:t>
            </w:r>
            <w:r w:rsidRPr="00653095">
              <w:rPr>
                <w:sz w:val="24"/>
                <w:szCs w:val="24"/>
                <w:lang w:val="uk-UA"/>
              </w:rPr>
              <w:t>.2013)</w:t>
            </w:r>
          </w:p>
        </w:tc>
      </w:tr>
      <w:tr w:rsidR="00931A67" w:rsidRPr="00B9319E" w:rsidTr="00EE45D5">
        <w:tc>
          <w:tcPr>
            <w:tcW w:w="3085" w:type="dxa"/>
            <w:tcBorders>
              <w:top w:val="single" w:sz="4" w:space="0" w:color="auto"/>
              <w:bottom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Висновок Головного науково-експертного управління ВРУ</w:t>
            </w:r>
          </w:p>
        </w:tc>
        <w:tc>
          <w:tcPr>
            <w:tcW w:w="6486" w:type="dxa"/>
            <w:tcBorders>
              <w:top w:val="single" w:sz="4" w:space="0" w:color="auto"/>
              <w:bottom w:val="single" w:sz="4" w:space="0" w:color="auto"/>
            </w:tcBorders>
          </w:tcPr>
          <w:p w:rsidR="00931A67" w:rsidRPr="00F83489" w:rsidRDefault="00931A67" w:rsidP="00EE45D5">
            <w:pPr>
              <w:spacing w:after="0" w:line="240" w:lineRule="auto"/>
              <w:rPr>
                <w:rFonts w:asciiTheme="minorHAnsi" w:hAnsiTheme="minorHAnsi"/>
                <w:sz w:val="24"/>
                <w:szCs w:val="24"/>
                <w:lang w:val="uk-UA"/>
              </w:rPr>
            </w:pPr>
            <w:r>
              <w:rPr>
                <w:rFonts w:asciiTheme="minorHAnsi" w:hAnsiTheme="minorHAnsi"/>
                <w:sz w:val="24"/>
                <w:szCs w:val="24"/>
                <w:lang w:val="uk-UA"/>
              </w:rPr>
              <w:t xml:space="preserve">Відсутній на момент проведення експертизи </w:t>
            </w:r>
          </w:p>
        </w:tc>
      </w:tr>
      <w:tr w:rsidR="00931A67" w:rsidRPr="00B9319E" w:rsidTr="00EE45D5">
        <w:tc>
          <w:tcPr>
            <w:tcW w:w="3085" w:type="dxa"/>
            <w:tcBorders>
              <w:top w:val="single" w:sz="4" w:space="0" w:color="auto"/>
              <w:bottom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Висновок профільного Комітету ВРУ</w:t>
            </w:r>
          </w:p>
        </w:tc>
        <w:tc>
          <w:tcPr>
            <w:tcW w:w="6486" w:type="dxa"/>
            <w:tcBorders>
              <w:top w:val="single" w:sz="4" w:space="0" w:color="auto"/>
              <w:bottom w:val="single" w:sz="4" w:space="0" w:color="auto"/>
            </w:tcBorders>
          </w:tcPr>
          <w:p w:rsidR="00931A67" w:rsidRPr="00931A67" w:rsidRDefault="00931A67" w:rsidP="00EE45D5">
            <w:pPr>
              <w:jc w:val="both"/>
              <w:rPr>
                <w:sz w:val="24"/>
                <w:szCs w:val="24"/>
                <w:lang w:val="uk-UA"/>
              </w:rPr>
            </w:pPr>
            <w:r w:rsidRPr="00931A67">
              <w:rPr>
                <w:sz w:val="24"/>
                <w:szCs w:val="24"/>
                <w:lang w:val="uk-UA"/>
              </w:rPr>
              <w:t>Відсутній на момент проведення експертизи</w:t>
            </w:r>
          </w:p>
        </w:tc>
      </w:tr>
      <w:tr w:rsidR="00931A67" w:rsidRPr="004D25F8" w:rsidTr="00EE45D5">
        <w:tc>
          <w:tcPr>
            <w:tcW w:w="3085" w:type="dxa"/>
            <w:tcBorders>
              <w:top w:val="single" w:sz="4" w:space="0" w:color="auto"/>
            </w:tcBorders>
          </w:tcPr>
          <w:p w:rsidR="00931A67" w:rsidRPr="00B9319E" w:rsidRDefault="00931A67" w:rsidP="00EE45D5">
            <w:pPr>
              <w:spacing w:after="0" w:line="240" w:lineRule="auto"/>
              <w:rPr>
                <w:b/>
                <w:sz w:val="24"/>
                <w:szCs w:val="24"/>
                <w:lang w:val="uk-UA"/>
              </w:rPr>
            </w:pPr>
            <w:proofErr w:type="spellStart"/>
            <w:r w:rsidRPr="00B9319E">
              <w:rPr>
                <w:b/>
                <w:sz w:val="24"/>
                <w:szCs w:val="24"/>
                <w:lang w:val="uk-UA"/>
              </w:rPr>
              <w:t>Веб-адреса</w:t>
            </w:r>
            <w:proofErr w:type="spellEnd"/>
            <w:r w:rsidRPr="00B9319E">
              <w:rPr>
                <w:b/>
                <w:sz w:val="24"/>
                <w:szCs w:val="24"/>
                <w:lang w:val="uk-UA"/>
              </w:rPr>
              <w:t xml:space="preserve"> картки законопроекту на сервері ВРУ</w:t>
            </w:r>
          </w:p>
        </w:tc>
        <w:tc>
          <w:tcPr>
            <w:tcW w:w="6486" w:type="dxa"/>
            <w:tcBorders>
              <w:top w:val="single" w:sz="4" w:space="0" w:color="auto"/>
            </w:tcBorders>
          </w:tcPr>
          <w:p w:rsidR="00931A67" w:rsidRPr="000C0D60" w:rsidRDefault="00D70C0A" w:rsidP="00EE45D5">
            <w:pPr>
              <w:spacing w:after="0" w:line="240" w:lineRule="auto"/>
              <w:rPr>
                <w:sz w:val="24"/>
                <w:szCs w:val="24"/>
                <w:lang w:val="uk-UA"/>
              </w:rPr>
            </w:pPr>
            <w:hyperlink r:id="rId5" w:history="1">
              <w:r w:rsidR="00931A67">
                <w:rPr>
                  <w:rStyle w:val="a3"/>
                  <w:rFonts w:eastAsiaTheme="majorEastAsia"/>
                </w:rPr>
                <w:t>http</w:t>
              </w:r>
              <w:r w:rsidR="00931A67" w:rsidRPr="00931A67">
                <w:rPr>
                  <w:rStyle w:val="a3"/>
                  <w:rFonts w:eastAsiaTheme="majorEastAsia"/>
                  <w:lang w:val="uk-UA"/>
                </w:rPr>
                <w:t>://</w:t>
              </w:r>
              <w:r w:rsidR="00931A67">
                <w:rPr>
                  <w:rStyle w:val="a3"/>
                  <w:rFonts w:eastAsiaTheme="majorEastAsia"/>
                </w:rPr>
                <w:t>w</w:t>
              </w:r>
              <w:r w:rsidR="00931A67" w:rsidRPr="00931A67">
                <w:rPr>
                  <w:rStyle w:val="a3"/>
                  <w:rFonts w:eastAsiaTheme="majorEastAsia"/>
                  <w:lang w:val="uk-UA"/>
                </w:rPr>
                <w:t>1.</w:t>
              </w:r>
              <w:r w:rsidR="00931A67">
                <w:rPr>
                  <w:rStyle w:val="a3"/>
                  <w:rFonts w:eastAsiaTheme="majorEastAsia"/>
                </w:rPr>
                <w:t>c</w:t>
              </w:r>
              <w:r w:rsidR="00931A67" w:rsidRPr="00931A67">
                <w:rPr>
                  <w:rStyle w:val="a3"/>
                  <w:rFonts w:eastAsiaTheme="majorEastAsia"/>
                  <w:lang w:val="uk-UA"/>
                </w:rPr>
                <w:t>1.</w:t>
              </w:r>
              <w:r w:rsidR="00931A67">
                <w:rPr>
                  <w:rStyle w:val="a3"/>
                  <w:rFonts w:eastAsiaTheme="majorEastAsia"/>
                </w:rPr>
                <w:t>rada</w:t>
              </w:r>
              <w:r w:rsidR="00931A67" w:rsidRPr="00931A67">
                <w:rPr>
                  <w:rStyle w:val="a3"/>
                  <w:rFonts w:eastAsiaTheme="majorEastAsia"/>
                  <w:lang w:val="uk-UA"/>
                </w:rPr>
                <w:t>.</w:t>
              </w:r>
              <w:r w:rsidR="00931A67">
                <w:rPr>
                  <w:rStyle w:val="a3"/>
                  <w:rFonts w:eastAsiaTheme="majorEastAsia"/>
                </w:rPr>
                <w:t>gov</w:t>
              </w:r>
              <w:r w:rsidR="00931A67" w:rsidRPr="00931A67">
                <w:rPr>
                  <w:rStyle w:val="a3"/>
                  <w:rFonts w:eastAsiaTheme="majorEastAsia"/>
                  <w:lang w:val="uk-UA"/>
                </w:rPr>
                <w:t>.</w:t>
              </w:r>
              <w:r w:rsidR="00931A67">
                <w:rPr>
                  <w:rStyle w:val="a3"/>
                  <w:rFonts w:eastAsiaTheme="majorEastAsia"/>
                </w:rPr>
                <w:t>ua</w:t>
              </w:r>
              <w:r w:rsidR="00931A67" w:rsidRPr="00931A67">
                <w:rPr>
                  <w:rStyle w:val="a3"/>
                  <w:rFonts w:eastAsiaTheme="majorEastAsia"/>
                  <w:lang w:val="uk-UA"/>
                </w:rPr>
                <w:t>/</w:t>
              </w:r>
              <w:r w:rsidR="00931A67">
                <w:rPr>
                  <w:rStyle w:val="a3"/>
                  <w:rFonts w:eastAsiaTheme="majorEastAsia"/>
                </w:rPr>
                <w:t>pls</w:t>
              </w:r>
              <w:r w:rsidR="00931A67" w:rsidRPr="00931A67">
                <w:rPr>
                  <w:rStyle w:val="a3"/>
                  <w:rFonts w:eastAsiaTheme="majorEastAsia"/>
                  <w:lang w:val="uk-UA"/>
                </w:rPr>
                <w:t>/</w:t>
              </w:r>
              <w:r w:rsidR="00931A67">
                <w:rPr>
                  <w:rStyle w:val="a3"/>
                  <w:rFonts w:eastAsiaTheme="majorEastAsia"/>
                </w:rPr>
                <w:t>zweb</w:t>
              </w:r>
              <w:r w:rsidR="00931A67" w:rsidRPr="00931A67">
                <w:rPr>
                  <w:rStyle w:val="a3"/>
                  <w:rFonts w:eastAsiaTheme="majorEastAsia"/>
                  <w:lang w:val="uk-UA"/>
                </w:rPr>
                <w:t>2/</w:t>
              </w:r>
              <w:r w:rsidR="00931A67">
                <w:rPr>
                  <w:rStyle w:val="a3"/>
                  <w:rFonts w:eastAsiaTheme="majorEastAsia"/>
                </w:rPr>
                <w:t>webproc</w:t>
              </w:r>
              <w:r w:rsidR="00931A67" w:rsidRPr="00931A67">
                <w:rPr>
                  <w:rStyle w:val="a3"/>
                  <w:rFonts w:eastAsiaTheme="majorEastAsia"/>
                  <w:lang w:val="uk-UA"/>
                </w:rPr>
                <w:t>4_1?</w:t>
              </w:r>
              <w:r w:rsidR="00931A67">
                <w:rPr>
                  <w:rStyle w:val="a3"/>
                  <w:rFonts w:eastAsiaTheme="majorEastAsia"/>
                </w:rPr>
                <w:t>pf</w:t>
              </w:r>
              <w:r w:rsidR="00931A67" w:rsidRPr="00931A67">
                <w:rPr>
                  <w:rStyle w:val="a3"/>
                  <w:rFonts w:eastAsiaTheme="majorEastAsia"/>
                  <w:lang w:val="uk-UA"/>
                </w:rPr>
                <w:t>3511=49212</w:t>
              </w:r>
            </w:hyperlink>
          </w:p>
        </w:tc>
      </w:tr>
      <w:tr w:rsidR="00931A67" w:rsidRPr="00805BAE" w:rsidTr="00EE45D5">
        <w:tc>
          <w:tcPr>
            <w:tcW w:w="3085" w:type="dxa"/>
            <w:tcBorders>
              <w:top w:val="single" w:sz="4" w:space="0" w:color="auto"/>
            </w:tcBorders>
          </w:tcPr>
          <w:p w:rsidR="00931A67" w:rsidRPr="00B9319E" w:rsidRDefault="00931A67" w:rsidP="00EE45D5">
            <w:pPr>
              <w:spacing w:after="0" w:line="240" w:lineRule="auto"/>
              <w:rPr>
                <w:b/>
                <w:sz w:val="24"/>
                <w:szCs w:val="24"/>
                <w:lang w:val="uk-UA"/>
              </w:rPr>
            </w:pPr>
            <w:r>
              <w:rPr>
                <w:b/>
                <w:sz w:val="24"/>
                <w:szCs w:val="24"/>
                <w:lang w:val="uk-UA"/>
              </w:rPr>
              <w:t>Дата схвалення висновку Громадською експертною радою</w:t>
            </w:r>
          </w:p>
        </w:tc>
        <w:tc>
          <w:tcPr>
            <w:tcW w:w="6486" w:type="dxa"/>
            <w:tcBorders>
              <w:top w:val="single" w:sz="4" w:space="0" w:color="auto"/>
            </w:tcBorders>
          </w:tcPr>
          <w:p w:rsidR="00931A67" w:rsidRPr="00196116" w:rsidRDefault="004D25F8" w:rsidP="00931A67">
            <w:pPr>
              <w:spacing w:after="0" w:line="240" w:lineRule="auto"/>
              <w:rPr>
                <w:sz w:val="24"/>
                <w:szCs w:val="24"/>
                <w:lang w:val="uk-UA"/>
              </w:rPr>
            </w:pPr>
            <w:r>
              <w:rPr>
                <w:sz w:val="24"/>
                <w:szCs w:val="24"/>
                <w:lang w:val="uk-UA"/>
              </w:rPr>
              <w:t>31 грудня 2013 року</w:t>
            </w:r>
          </w:p>
        </w:tc>
      </w:tr>
      <w:tr w:rsidR="00931A67" w:rsidRPr="00B9319E" w:rsidTr="00EE45D5">
        <w:tc>
          <w:tcPr>
            <w:tcW w:w="3085" w:type="dxa"/>
            <w:tcBorders>
              <w:top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 xml:space="preserve">Висновок та рекомендації </w:t>
            </w:r>
          </w:p>
          <w:p w:rsidR="00931A67" w:rsidRPr="00B9319E" w:rsidRDefault="00931A67" w:rsidP="00EE45D5">
            <w:pPr>
              <w:spacing w:after="0" w:line="240" w:lineRule="auto"/>
              <w:rPr>
                <w:b/>
                <w:sz w:val="24"/>
                <w:szCs w:val="24"/>
                <w:lang w:val="uk-UA"/>
              </w:rPr>
            </w:pPr>
            <w:r w:rsidRPr="00B9319E">
              <w:rPr>
                <w:b/>
                <w:sz w:val="24"/>
                <w:szCs w:val="24"/>
                <w:lang w:val="uk-UA"/>
              </w:rPr>
              <w:t>Громадської експертної ради</w:t>
            </w:r>
          </w:p>
        </w:tc>
        <w:tc>
          <w:tcPr>
            <w:tcW w:w="6486" w:type="dxa"/>
            <w:tcBorders>
              <w:top w:val="single" w:sz="4" w:space="0" w:color="auto"/>
            </w:tcBorders>
          </w:tcPr>
          <w:p w:rsidR="00931A67" w:rsidRPr="00B9319E" w:rsidRDefault="00931A67" w:rsidP="00EE45D5">
            <w:pPr>
              <w:spacing w:after="0" w:line="240" w:lineRule="auto"/>
              <w:rPr>
                <w:b/>
                <w:sz w:val="24"/>
                <w:szCs w:val="24"/>
                <w:lang w:val="uk-UA"/>
              </w:rPr>
            </w:pPr>
            <w:r w:rsidRPr="00B9319E">
              <w:rPr>
                <w:b/>
                <w:sz w:val="24"/>
                <w:szCs w:val="24"/>
                <w:lang w:val="uk-UA"/>
              </w:rPr>
              <w:t>Виявлено корупційні ризики</w:t>
            </w:r>
          </w:p>
          <w:p w:rsidR="00931A67" w:rsidRPr="00B9319E" w:rsidRDefault="00931A67" w:rsidP="00EE45D5">
            <w:pPr>
              <w:spacing w:after="0" w:line="240" w:lineRule="auto"/>
              <w:rPr>
                <w:b/>
                <w:sz w:val="24"/>
                <w:szCs w:val="24"/>
                <w:lang w:val="uk-UA"/>
              </w:rPr>
            </w:pPr>
          </w:p>
          <w:p w:rsidR="00931A67" w:rsidRPr="00DE57C4" w:rsidRDefault="00931A67" w:rsidP="00EE45D5">
            <w:pPr>
              <w:spacing w:after="0" w:line="240" w:lineRule="auto"/>
              <w:rPr>
                <w:b/>
                <w:sz w:val="24"/>
                <w:szCs w:val="24"/>
                <w:lang w:val="uk-UA"/>
              </w:rPr>
            </w:pPr>
            <w:r>
              <w:rPr>
                <w:b/>
                <w:sz w:val="24"/>
                <w:szCs w:val="24"/>
                <w:lang w:val="uk-UA"/>
              </w:rPr>
              <w:t xml:space="preserve">Відправити на доопрацювання за результатами розгляду у першому читанні </w:t>
            </w:r>
          </w:p>
        </w:tc>
      </w:tr>
    </w:tbl>
    <w:p w:rsidR="00674E2B" w:rsidRPr="00905C1E" w:rsidRDefault="00674E2B" w:rsidP="00674E2B">
      <w:pPr>
        <w:spacing w:after="0" w:line="240" w:lineRule="auto"/>
        <w:rPr>
          <w:sz w:val="24"/>
          <w:szCs w:val="24"/>
        </w:rPr>
      </w:pPr>
    </w:p>
    <w:p w:rsidR="00674E2B" w:rsidRPr="00103934" w:rsidRDefault="00674E2B" w:rsidP="00674E2B">
      <w:pPr>
        <w:spacing w:after="0" w:line="240" w:lineRule="auto"/>
        <w:rPr>
          <w:sz w:val="24"/>
          <w:szCs w:val="24"/>
          <w:lang w:val="uk-UA"/>
        </w:rPr>
      </w:pPr>
    </w:p>
    <w:p w:rsidR="00674E2B" w:rsidRPr="00103934" w:rsidRDefault="00674E2B" w:rsidP="00674E2B">
      <w:pPr>
        <w:spacing w:before="120" w:after="0" w:line="240" w:lineRule="auto"/>
        <w:rPr>
          <w:sz w:val="24"/>
          <w:szCs w:val="24"/>
          <w:lang w:val="uk-UA"/>
        </w:rPr>
      </w:pPr>
    </w:p>
    <w:p w:rsidR="00674E2B" w:rsidRDefault="00674E2B" w:rsidP="00674E2B">
      <w:pPr>
        <w:spacing w:after="0"/>
        <w:jc w:val="right"/>
        <w:rPr>
          <w:sz w:val="26"/>
          <w:szCs w:val="24"/>
          <w:lang w:val="uk-UA"/>
        </w:rPr>
      </w:pPr>
      <w:r>
        <w:rPr>
          <w:sz w:val="26"/>
          <w:szCs w:val="24"/>
          <w:lang w:val="uk-UA"/>
        </w:rPr>
        <w:t>Виконавець</w:t>
      </w:r>
    </w:p>
    <w:p w:rsidR="00931A67" w:rsidRPr="00653095" w:rsidRDefault="00931A67" w:rsidP="00931A67">
      <w:pPr>
        <w:spacing w:before="120" w:after="0" w:line="240" w:lineRule="auto"/>
        <w:jc w:val="right"/>
        <w:rPr>
          <w:sz w:val="24"/>
          <w:szCs w:val="24"/>
          <w:shd w:val="clear" w:color="auto" w:fill="FFFFFF"/>
          <w:lang w:val="uk-UA"/>
        </w:rPr>
      </w:pPr>
      <w:r w:rsidRPr="00653095">
        <w:rPr>
          <w:sz w:val="24"/>
          <w:szCs w:val="24"/>
          <w:shd w:val="clear" w:color="auto" w:fill="FFFFFF"/>
          <w:lang w:val="uk-UA"/>
        </w:rPr>
        <w:t xml:space="preserve">директор з наукового розвитку Центру політико-правових реформ, </w:t>
      </w:r>
    </w:p>
    <w:p w:rsidR="00931A67" w:rsidRPr="00653095" w:rsidRDefault="00931A67" w:rsidP="00931A67">
      <w:pPr>
        <w:spacing w:before="120" w:after="0" w:line="240" w:lineRule="auto"/>
        <w:jc w:val="right"/>
        <w:rPr>
          <w:sz w:val="24"/>
          <w:szCs w:val="24"/>
          <w:lang w:val="uk-UA"/>
        </w:rPr>
      </w:pPr>
      <w:r w:rsidRPr="00653095">
        <w:rPr>
          <w:sz w:val="24"/>
          <w:szCs w:val="24"/>
          <w:shd w:val="clear" w:color="auto" w:fill="FFFFFF"/>
          <w:lang w:val="uk-UA"/>
        </w:rPr>
        <w:t>експерт з кримінального права і проблем корупції</w:t>
      </w:r>
    </w:p>
    <w:p w:rsidR="00674E2B" w:rsidRPr="004E3212" w:rsidRDefault="00931A67" w:rsidP="00931A67">
      <w:pPr>
        <w:spacing w:after="0" w:line="240" w:lineRule="auto"/>
        <w:jc w:val="right"/>
        <w:rPr>
          <w:sz w:val="24"/>
          <w:szCs w:val="24"/>
          <w:lang w:val="uk-UA"/>
        </w:rPr>
      </w:pPr>
      <w:r w:rsidRPr="00653095">
        <w:rPr>
          <w:sz w:val="24"/>
          <w:szCs w:val="24"/>
          <w:lang w:val="uk-UA"/>
        </w:rPr>
        <w:t>Микола Хавронюк</w:t>
      </w:r>
    </w:p>
    <w:p w:rsidR="007F3441" w:rsidRDefault="007F3441">
      <w:pPr>
        <w:rPr>
          <w:sz w:val="24"/>
          <w:szCs w:val="24"/>
          <w:lang w:val="uk-UA"/>
        </w:rPr>
      </w:pPr>
      <w:r>
        <w:rPr>
          <w:sz w:val="24"/>
          <w:szCs w:val="24"/>
          <w:lang w:val="uk-UA"/>
        </w:rPr>
        <w:br w:type="page"/>
      </w:r>
    </w:p>
    <w:p w:rsidR="00674E2B" w:rsidRDefault="00674E2B" w:rsidP="00674E2B">
      <w:pPr>
        <w:rPr>
          <w:sz w:val="24"/>
          <w:szCs w:val="24"/>
          <w:lang w:val="uk-UA"/>
        </w:rPr>
      </w:pPr>
    </w:p>
    <w:p w:rsidR="00674E2B" w:rsidRPr="00C24F10" w:rsidRDefault="00674E2B" w:rsidP="00674E2B">
      <w:pPr>
        <w:pStyle w:val="1"/>
        <w:numPr>
          <w:ilvl w:val="0"/>
          <w:numId w:val="1"/>
        </w:numPr>
        <w:pBdr>
          <w:top w:val="single" w:sz="4" w:space="1" w:color="auto"/>
          <w:left w:val="single" w:sz="4" w:space="31" w:color="auto"/>
          <w:bottom w:val="single" w:sz="4" w:space="0" w:color="auto"/>
          <w:right w:val="single" w:sz="4" w:space="8" w:color="auto"/>
        </w:pBdr>
        <w:spacing w:before="120" w:after="0" w:line="240" w:lineRule="auto"/>
        <w:ind w:left="142" w:hanging="87"/>
        <w:contextualSpacing w:val="0"/>
        <w:rPr>
          <w:b/>
          <w:sz w:val="26"/>
          <w:szCs w:val="26"/>
        </w:rPr>
      </w:pPr>
      <w:r w:rsidRPr="00C24F10">
        <w:rPr>
          <w:b/>
          <w:sz w:val="26"/>
          <w:szCs w:val="26"/>
          <w:lang w:val="uk-UA"/>
        </w:rPr>
        <w:t>Короткий виклад результа</w:t>
      </w:r>
      <w:r>
        <w:rPr>
          <w:b/>
          <w:sz w:val="26"/>
          <w:szCs w:val="26"/>
          <w:lang w:val="uk-UA"/>
        </w:rPr>
        <w:t>тів громадської антикорупційної експертизи</w:t>
      </w:r>
    </w:p>
    <w:p w:rsidR="00674E2B" w:rsidRDefault="00674E2B" w:rsidP="00674E2B">
      <w:pPr>
        <w:pStyle w:val="1"/>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674E2B" w:rsidRPr="0074251E" w:rsidRDefault="00674E2B" w:rsidP="006E17EC">
      <w:pPr>
        <w:widowControl w:val="0"/>
        <w:tabs>
          <w:tab w:val="left" w:pos="1035"/>
        </w:tabs>
        <w:autoSpaceDE w:val="0"/>
        <w:autoSpaceDN w:val="0"/>
        <w:adjustRightInd w:val="0"/>
        <w:spacing w:before="120" w:after="0" w:line="240" w:lineRule="auto"/>
        <w:jc w:val="both"/>
        <w:rPr>
          <w:sz w:val="24"/>
          <w:szCs w:val="24"/>
          <w:lang w:val="uk-UA"/>
        </w:rPr>
      </w:pPr>
      <w:r w:rsidRPr="0074251E">
        <w:rPr>
          <w:b/>
          <w:sz w:val="24"/>
          <w:szCs w:val="24"/>
          <w:lang w:val="uk-UA"/>
        </w:rPr>
        <w:t>Ціль:</w:t>
      </w:r>
      <w:r w:rsidRPr="00A321FA">
        <w:rPr>
          <w:sz w:val="24"/>
          <w:szCs w:val="24"/>
          <w:lang w:val="uk-UA"/>
        </w:rPr>
        <w:t xml:space="preserve"> </w:t>
      </w:r>
      <w:r w:rsidR="006E17EC" w:rsidRPr="008F5950">
        <w:rPr>
          <w:sz w:val="24"/>
          <w:szCs w:val="24"/>
          <w:lang w:val="uk-UA"/>
        </w:rPr>
        <w:t>вдосконалення правових механізмів захисту прав споживачів при придбанні товару неналежної якості в частині розширення їх переліку та випадків застосування.</w:t>
      </w:r>
    </w:p>
    <w:p w:rsidR="00674E2B" w:rsidRPr="009057AC" w:rsidRDefault="00674E2B" w:rsidP="006E17EC">
      <w:pPr>
        <w:pStyle w:val="1"/>
        <w:spacing w:before="120" w:after="0" w:line="240" w:lineRule="auto"/>
        <w:ind w:left="0"/>
        <w:contextualSpacing w:val="0"/>
        <w:jc w:val="both"/>
        <w:rPr>
          <w:rFonts w:cs="Arial"/>
          <w:sz w:val="24"/>
          <w:szCs w:val="24"/>
          <w:lang w:val="uk-UA"/>
        </w:rPr>
      </w:pPr>
      <w:r w:rsidRPr="00DE57C4">
        <w:rPr>
          <w:rFonts w:cs="Arial"/>
          <w:b/>
          <w:sz w:val="24"/>
          <w:szCs w:val="24"/>
          <w:lang w:val="uk-UA"/>
        </w:rPr>
        <w:t>Спосіб досягнення:</w:t>
      </w:r>
      <w:r>
        <w:rPr>
          <w:rFonts w:cs="Arial"/>
          <w:sz w:val="24"/>
          <w:szCs w:val="24"/>
          <w:lang w:val="uk-UA"/>
        </w:rPr>
        <w:t xml:space="preserve"> </w:t>
      </w:r>
      <w:r w:rsidR="006E17EC">
        <w:rPr>
          <w:rFonts w:cs="Arial"/>
          <w:sz w:val="24"/>
          <w:szCs w:val="24"/>
          <w:lang w:val="uk-UA"/>
        </w:rPr>
        <w:t xml:space="preserve">перелік прав споживача (покупця) при придбанні товару неналежної якості доповнюється можливістю обміну такого товару або повернення. </w:t>
      </w:r>
      <w:r w:rsidR="006E17EC">
        <w:rPr>
          <w:sz w:val="24"/>
          <w:szCs w:val="24"/>
          <w:lang w:val="uk-UA"/>
        </w:rPr>
        <w:t>П</w:t>
      </w:r>
      <w:r w:rsidR="006E17EC" w:rsidRPr="008F5950">
        <w:rPr>
          <w:sz w:val="24"/>
          <w:szCs w:val="24"/>
          <w:lang w:val="uk-UA"/>
        </w:rPr>
        <w:t>ропонується вдосконалити визначення «істотний недолік», спростивши систему його оз</w:t>
      </w:r>
      <w:r w:rsidR="006E17EC">
        <w:rPr>
          <w:sz w:val="24"/>
          <w:szCs w:val="24"/>
          <w:lang w:val="uk-UA"/>
        </w:rPr>
        <w:t>нак</w:t>
      </w:r>
      <w:r w:rsidR="006E17EC" w:rsidRPr="008F5950">
        <w:rPr>
          <w:sz w:val="24"/>
          <w:szCs w:val="24"/>
          <w:lang w:val="uk-UA"/>
        </w:rPr>
        <w:t>, допустити визнання його наявності без обов’язкової спроби усунення виявленого недоліку</w:t>
      </w:r>
      <w:r w:rsidR="006E17EC">
        <w:rPr>
          <w:sz w:val="24"/>
          <w:szCs w:val="24"/>
          <w:lang w:val="uk-UA"/>
        </w:rPr>
        <w:t xml:space="preserve"> (зміни до Цивільного кодексу України та ЗУ «Про захист прав споживачів». </w:t>
      </w:r>
    </w:p>
    <w:p w:rsidR="00674E2B" w:rsidRPr="005D4B7A" w:rsidRDefault="00674E2B" w:rsidP="00674E2B">
      <w:pPr>
        <w:pStyle w:val="1"/>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674E2B" w:rsidRPr="00097F70" w:rsidRDefault="00674E2B" w:rsidP="00674E2B">
      <w:pPr>
        <w:spacing w:before="120" w:after="0" w:line="240" w:lineRule="auto"/>
        <w:jc w:val="both"/>
        <w:rPr>
          <w:sz w:val="24"/>
          <w:szCs w:val="24"/>
          <w:lang w:val="uk-UA"/>
        </w:rPr>
      </w:pPr>
      <w:r w:rsidRPr="005D4B7A">
        <w:rPr>
          <w:b/>
          <w:i/>
          <w:sz w:val="26"/>
          <w:szCs w:val="24"/>
          <w:lang w:val="uk-UA"/>
        </w:rPr>
        <w:t>Яким чином може працювати корупційна схема:</w:t>
      </w:r>
      <w:r>
        <w:rPr>
          <w:sz w:val="24"/>
          <w:szCs w:val="24"/>
          <w:lang w:val="uk-UA"/>
        </w:rPr>
        <w:t xml:space="preserve"> </w:t>
      </w:r>
    </w:p>
    <w:p w:rsidR="006E17EC" w:rsidRDefault="006E17EC" w:rsidP="00674E2B">
      <w:pPr>
        <w:spacing w:before="120" w:after="0" w:line="240" w:lineRule="auto"/>
        <w:jc w:val="both"/>
        <w:rPr>
          <w:sz w:val="24"/>
          <w:szCs w:val="24"/>
          <w:lang w:val="uk-UA"/>
        </w:rPr>
      </w:pPr>
      <w:r>
        <w:rPr>
          <w:rFonts w:asciiTheme="minorHAnsi" w:hAnsiTheme="minorHAnsi"/>
          <w:sz w:val="24"/>
          <w:szCs w:val="24"/>
          <w:lang w:val="uk-UA"/>
        </w:rPr>
        <w:t xml:space="preserve">Законопроект містить наступні правові прогалини. </w:t>
      </w:r>
      <w:r w:rsidR="00687139">
        <w:rPr>
          <w:sz w:val="24"/>
          <w:szCs w:val="24"/>
          <w:lang w:val="uk-UA"/>
        </w:rPr>
        <w:t xml:space="preserve">Згідно із ним, вимагати заміну товару неналежної якості стає можливим як при наявності, так і за відсутності істотного недоліку такого товару. Але проект не містить чітких умов такої заміни. </w:t>
      </w:r>
    </w:p>
    <w:p w:rsidR="00687139" w:rsidRDefault="00687139" w:rsidP="00674E2B">
      <w:pPr>
        <w:spacing w:before="120" w:after="0" w:line="240" w:lineRule="auto"/>
        <w:jc w:val="both"/>
        <w:rPr>
          <w:sz w:val="24"/>
          <w:szCs w:val="24"/>
          <w:lang w:val="uk-UA"/>
        </w:rPr>
      </w:pPr>
      <w:r>
        <w:rPr>
          <w:sz w:val="24"/>
          <w:szCs w:val="24"/>
          <w:lang w:val="uk-UA"/>
        </w:rPr>
        <w:t>У проекті з</w:t>
      </w:r>
      <w:r w:rsidRPr="00687139">
        <w:rPr>
          <w:sz w:val="24"/>
          <w:szCs w:val="24"/>
        </w:rPr>
        <w:t>’</w:t>
      </w:r>
      <w:r>
        <w:rPr>
          <w:sz w:val="24"/>
          <w:szCs w:val="24"/>
          <w:lang w:val="uk-UA"/>
        </w:rPr>
        <w:t xml:space="preserve">являється поняття «купівельна ціна», яке не визначається ані Цивільним кодексом України, ані ЗУ «Про захист прав споживачів». </w:t>
      </w:r>
    </w:p>
    <w:p w:rsidR="00687139" w:rsidRDefault="00687139" w:rsidP="00674E2B">
      <w:pPr>
        <w:spacing w:before="120" w:after="0" w:line="240" w:lineRule="auto"/>
        <w:jc w:val="both"/>
        <w:rPr>
          <w:sz w:val="24"/>
          <w:szCs w:val="24"/>
          <w:lang w:val="uk-UA"/>
        </w:rPr>
      </w:pPr>
      <w:r>
        <w:rPr>
          <w:sz w:val="24"/>
          <w:szCs w:val="24"/>
          <w:lang w:val="uk-UA"/>
        </w:rPr>
        <w:t xml:space="preserve">У вимогах щодо усунення недоліків товару зникає вказівка на час такого усунення «в розумний строк», що може призвести до порушення прав споживачів.  </w:t>
      </w:r>
    </w:p>
    <w:p w:rsidR="00674E2B" w:rsidRPr="001A4EB4" w:rsidRDefault="00674E2B" w:rsidP="00674E2B">
      <w:pPr>
        <w:spacing w:before="120" w:after="0" w:line="240" w:lineRule="auto"/>
        <w:jc w:val="both"/>
        <w:rPr>
          <w:sz w:val="24"/>
          <w:szCs w:val="24"/>
          <w:lang w:val="uk-UA"/>
        </w:rPr>
      </w:pPr>
      <w:r w:rsidRPr="005D4B7A">
        <w:rPr>
          <w:b/>
          <w:i/>
          <w:sz w:val="26"/>
          <w:szCs w:val="24"/>
          <w:lang w:val="uk-UA"/>
        </w:rPr>
        <w:t>Хто може отримувати корупційну вигоду:</w:t>
      </w:r>
      <w:r w:rsidRPr="005D4B7A">
        <w:rPr>
          <w:sz w:val="26"/>
          <w:szCs w:val="24"/>
          <w:lang w:val="uk-UA"/>
        </w:rPr>
        <w:t xml:space="preserve"> </w:t>
      </w:r>
      <w:proofErr w:type="spellStart"/>
      <w:r w:rsidR="00687139">
        <w:rPr>
          <w:sz w:val="24"/>
          <w:szCs w:val="24"/>
          <w:lang w:val="uk-UA"/>
        </w:rPr>
        <w:t>Суб</w:t>
      </w:r>
      <w:proofErr w:type="spellEnd"/>
      <w:r w:rsidR="00687139" w:rsidRPr="008209C1">
        <w:rPr>
          <w:sz w:val="24"/>
          <w:szCs w:val="24"/>
        </w:rPr>
        <w:t>’</w:t>
      </w:r>
      <w:proofErr w:type="spellStart"/>
      <w:r w:rsidR="00687139">
        <w:rPr>
          <w:sz w:val="24"/>
          <w:szCs w:val="24"/>
          <w:lang w:val="uk-UA"/>
        </w:rPr>
        <w:t>єкти</w:t>
      </w:r>
      <w:proofErr w:type="spellEnd"/>
      <w:r w:rsidR="00687139">
        <w:rPr>
          <w:sz w:val="24"/>
          <w:szCs w:val="24"/>
          <w:lang w:val="uk-UA"/>
        </w:rPr>
        <w:t xml:space="preserve">, уповноважені на здійснення захисту прав споживачів, у тому числі судді. </w:t>
      </w:r>
    </w:p>
    <w:p w:rsidR="00674E2B" w:rsidRPr="005D4B7A" w:rsidRDefault="00674E2B" w:rsidP="00674E2B">
      <w:pPr>
        <w:spacing w:before="120" w:after="0" w:line="240" w:lineRule="auto"/>
        <w:jc w:val="both"/>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00687139">
        <w:rPr>
          <w:sz w:val="24"/>
          <w:szCs w:val="24"/>
          <w:lang w:val="uk-UA"/>
        </w:rPr>
        <w:t>важко оцінити</w:t>
      </w:r>
      <w:r w:rsidRPr="005D4B7A">
        <w:rPr>
          <w:sz w:val="26"/>
          <w:szCs w:val="24"/>
          <w:lang w:val="uk-UA"/>
        </w:rPr>
        <w:t xml:space="preserve">  </w:t>
      </w:r>
    </w:p>
    <w:p w:rsidR="00674E2B" w:rsidRDefault="00674E2B" w:rsidP="00674E2B">
      <w:pPr>
        <w:spacing w:before="120" w:after="0" w:line="240" w:lineRule="auto"/>
        <w:jc w:val="both"/>
        <w:rPr>
          <w:sz w:val="26"/>
          <w:szCs w:val="24"/>
          <w:lang w:val="uk-UA"/>
        </w:rPr>
      </w:pPr>
      <w:r w:rsidRPr="005D4B7A">
        <w:rPr>
          <w:b/>
          <w:i/>
          <w:sz w:val="26"/>
          <w:szCs w:val="24"/>
          <w:lang w:val="uk-UA"/>
        </w:rPr>
        <w:t>Хто платитиме корупційні внески:</w:t>
      </w:r>
      <w:r w:rsidRPr="00367AAC">
        <w:rPr>
          <w:sz w:val="24"/>
          <w:szCs w:val="24"/>
          <w:lang w:val="uk-UA"/>
        </w:rPr>
        <w:t xml:space="preserve"> </w:t>
      </w:r>
      <w:r w:rsidR="00687139">
        <w:rPr>
          <w:sz w:val="24"/>
          <w:szCs w:val="24"/>
          <w:lang w:val="uk-UA"/>
        </w:rPr>
        <w:t>Особи, між якими виник спір</w:t>
      </w:r>
      <w:r w:rsidR="00687139" w:rsidRPr="004003BD">
        <w:rPr>
          <w:sz w:val="24"/>
          <w:szCs w:val="24"/>
          <w:lang w:val="uk-UA"/>
        </w:rPr>
        <w:t xml:space="preserve"> з приводу неналежної якості товару</w:t>
      </w:r>
      <w:r w:rsidR="00687139">
        <w:rPr>
          <w:sz w:val="24"/>
          <w:szCs w:val="24"/>
          <w:lang w:val="uk-UA"/>
        </w:rPr>
        <w:t xml:space="preserve"> – споживач і продавець (виробник, виконавець).</w:t>
      </w:r>
    </w:p>
    <w:p w:rsidR="00674E2B" w:rsidRPr="005D4B7A" w:rsidRDefault="00674E2B" w:rsidP="00674E2B">
      <w:pPr>
        <w:pStyle w:val="1"/>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674E2B" w:rsidRDefault="00674E2B" w:rsidP="00674E2B">
      <w:pPr>
        <w:spacing w:before="120" w:after="0" w:line="240" w:lineRule="auto"/>
        <w:jc w:val="both"/>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p>
    <w:p w:rsidR="00674E2B" w:rsidRPr="00367AAC" w:rsidRDefault="00687139" w:rsidP="00674E2B">
      <w:pPr>
        <w:spacing w:before="120" w:after="0" w:line="240" w:lineRule="auto"/>
        <w:jc w:val="both"/>
        <w:rPr>
          <w:sz w:val="24"/>
          <w:szCs w:val="24"/>
          <w:lang w:val="uk-UA"/>
        </w:rPr>
      </w:pPr>
      <w:r>
        <w:rPr>
          <w:color w:val="000000"/>
          <w:sz w:val="24"/>
          <w:szCs w:val="24"/>
          <w:lang w:val="uk-UA"/>
        </w:rPr>
        <w:t>Наявність прогалин у нормативному регулюванні умов та порядку заміни товару в</w:t>
      </w:r>
      <w:r w:rsidRPr="00423518">
        <w:rPr>
          <w:color w:val="000000"/>
          <w:sz w:val="24"/>
          <w:szCs w:val="24"/>
          <w:lang w:val="uk-UA"/>
        </w:rPr>
        <w:t xml:space="preserve"> разі істотного порушення вимог щодо </w:t>
      </w:r>
      <w:r>
        <w:rPr>
          <w:color w:val="000000"/>
          <w:sz w:val="24"/>
          <w:szCs w:val="24"/>
          <w:lang w:val="uk-UA"/>
        </w:rPr>
        <w:t xml:space="preserve">його якості сприяє надмірній широті розсуду з боку особи, уповноваженої на вирішення такого спору. Це створює </w:t>
      </w:r>
      <w:proofErr w:type="spellStart"/>
      <w:r>
        <w:rPr>
          <w:color w:val="000000"/>
          <w:sz w:val="24"/>
          <w:szCs w:val="24"/>
          <w:lang w:val="uk-UA"/>
        </w:rPr>
        <w:t>підгрунтя</w:t>
      </w:r>
      <w:proofErr w:type="spellEnd"/>
      <w:r>
        <w:rPr>
          <w:color w:val="000000"/>
          <w:sz w:val="24"/>
          <w:szCs w:val="24"/>
          <w:lang w:val="uk-UA"/>
        </w:rPr>
        <w:t xml:space="preserve"> для вимагання нею неправомірної вигоди за прийняття позитивного рішення.</w:t>
      </w:r>
    </w:p>
    <w:p w:rsidR="00674E2B" w:rsidRPr="00097F70" w:rsidRDefault="00674E2B" w:rsidP="00674E2B">
      <w:pPr>
        <w:spacing w:before="120" w:after="0" w:line="240" w:lineRule="auto"/>
        <w:jc w:val="both"/>
        <w:rPr>
          <w:sz w:val="24"/>
          <w:szCs w:val="24"/>
          <w:lang w:val="uk-UA"/>
        </w:rPr>
      </w:pPr>
      <w:r w:rsidRPr="005D4B7A">
        <w:rPr>
          <w:b/>
          <w:i/>
          <w:sz w:val="26"/>
          <w:szCs w:val="24"/>
          <w:lang w:val="uk-UA"/>
        </w:rPr>
        <w:t>Хто може потерпати від корупційної схеми:</w:t>
      </w:r>
      <w:r w:rsidRPr="00367AAC">
        <w:rPr>
          <w:sz w:val="24"/>
          <w:szCs w:val="24"/>
          <w:lang w:val="uk-UA"/>
        </w:rPr>
        <w:t xml:space="preserve"> </w:t>
      </w:r>
      <w:r w:rsidR="00687139" w:rsidRPr="0017066C">
        <w:rPr>
          <w:sz w:val="24"/>
          <w:szCs w:val="24"/>
          <w:lang w:val="uk-UA"/>
        </w:rPr>
        <w:t>Споживачі продукції неналежної якості.</w:t>
      </w:r>
    </w:p>
    <w:p w:rsidR="00674E2B" w:rsidRPr="005D4B7A" w:rsidRDefault="00674E2B" w:rsidP="00674E2B">
      <w:pPr>
        <w:pStyle w:val="1"/>
        <w:numPr>
          <w:ilvl w:val="0"/>
          <w:numId w:val="2"/>
        </w:numPr>
        <w:spacing w:before="120" w:after="0" w:line="240" w:lineRule="auto"/>
        <w:ind w:left="0" w:firstLine="0"/>
        <w:contextualSpacing w:val="0"/>
        <w:jc w:val="both"/>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674E2B" w:rsidRPr="00097F70" w:rsidRDefault="00687139" w:rsidP="00674E2B">
      <w:pPr>
        <w:spacing w:before="120" w:after="0" w:line="240" w:lineRule="auto"/>
        <w:jc w:val="both"/>
        <w:rPr>
          <w:sz w:val="24"/>
          <w:szCs w:val="24"/>
          <w:lang w:val="uk-UA"/>
        </w:rPr>
      </w:pPr>
      <w:r>
        <w:rPr>
          <w:sz w:val="24"/>
          <w:szCs w:val="24"/>
          <w:lang w:val="uk-UA"/>
        </w:rPr>
        <w:t xml:space="preserve">У законопроекті виявлені правові прогалини. Рекомендується доопрацювати законопроект за результатами розгляду у першому читанні. </w:t>
      </w:r>
    </w:p>
    <w:p w:rsidR="00674E2B" w:rsidRDefault="00674E2B" w:rsidP="00674E2B">
      <w:pPr>
        <w:tabs>
          <w:tab w:val="left" w:pos="3855"/>
        </w:tabs>
        <w:rPr>
          <w:sz w:val="24"/>
          <w:szCs w:val="24"/>
          <w:lang w:val="uk-UA"/>
        </w:rPr>
      </w:pPr>
      <w:r>
        <w:rPr>
          <w:sz w:val="24"/>
          <w:szCs w:val="24"/>
          <w:lang w:val="uk-UA"/>
        </w:rPr>
        <w:br w:type="page"/>
      </w:r>
      <w:r>
        <w:rPr>
          <w:sz w:val="24"/>
          <w:szCs w:val="24"/>
          <w:lang w:val="uk-UA"/>
        </w:rPr>
        <w:lastRenderedPageBreak/>
        <w:tab/>
      </w:r>
    </w:p>
    <w:p w:rsidR="00674E2B" w:rsidRPr="00271BF1" w:rsidRDefault="00674E2B" w:rsidP="00674E2B">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t>ІІ. Детальний виклад результатів громадської антикорупційної експертизи</w:t>
      </w:r>
    </w:p>
    <w:p w:rsidR="00674E2B" w:rsidRDefault="00674E2B" w:rsidP="00674E2B">
      <w:pPr>
        <w:pStyle w:val="1"/>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674E2B" w:rsidRPr="00B9319E" w:rsidTr="00EE45D5">
        <w:tc>
          <w:tcPr>
            <w:tcW w:w="4785" w:type="dxa"/>
          </w:tcPr>
          <w:p w:rsidR="00674E2B" w:rsidRPr="00B9319E" w:rsidRDefault="00674E2B" w:rsidP="00EE45D5">
            <w:pPr>
              <w:spacing w:after="0" w:line="240" w:lineRule="auto"/>
              <w:jc w:val="center"/>
              <w:rPr>
                <w:b/>
                <w:i/>
                <w:sz w:val="24"/>
                <w:szCs w:val="24"/>
                <w:lang w:val="uk-UA"/>
              </w:rPr>
            </w:pPr>
            <w:r w:rsidRPr="00B9319E">
              <w:rPr>
                <w:b/>
                <w:i/>
                <w:sz w:val="24"/>
                <w:szCs w:val="24"/>
                <w:lang w:val="uk-UA"/>
              </w:rPr>
              <w:t>Ціль</w:t>
            </w:r>
          </w:p>
        </w:tc>
        <w:tc>
          <w:tcPr>
            <w:tcW w:w="4786" w:type="dxa"/>
          </w:tcPr>
          <w:p w:rsidR="00674E2B" w:rsidRPr="00B9319E" w:rsidRDefault="00674E2B" w:rsidP="00EE45D5">
            <w:pPr>
              <w:spacing w:after="0" w:line="240" w:lineRule="auto"/>
              <w:jc w:val="center"/>
              <w:rPr>
                <w:b/>
                <w:i/>
                <w:sz w:val="24"/>
                <w:szCs w:val="24"/>
                <w:lang w:val="uk-UA"/>
              </w:rPr>
            </w:pPr>
            <w:r w:rsidRPr="00B9319E">
              <w:rPr>
                <w:b/>
                <w:i/>
                <w:sz w:val="24"/>
                <w:szCs w:val="24"/>
                <w:lang w:val="uk-UA"/>
              </w:rPr>
              <w:t>Спосіб досягнення</w:t>
            </w:r>
          </w:p>
        </w:tc>
      </w:tr>
      <w:tr w:rsidR="00E60292" w:rsidRPr="00674E2B" w:rsidTr="00EE45D5">
        <w:tc>
          <w:tcPr>
            <w:tcW w:w="4785" w:type="dxa"/>
          </w:tcPr>
          <w:p w:rsidR="00E60292" w:rsidRPr="000B4487" w:rsidRDefault="00E60292" w:rsidP="00EE45D5">
            <w:pPr>
              <w:spacing w:before="120" w:after="0" w:line="240" w:lineRule="auto"/>
              <w:jc w:val="both"/>
              <w:rPr>
                <w:sz w:val="24"/>
                <w:szCs w:val="24"/>
                <w:lang w:val="uk-UA"/>
              </w:rPr>
            </w:pPr>
            <w:r>
              <w:rPr>
                <w:sz w:val="24"/>
                <w:szCs w:val="24"/>
                <w:lang w:val="uk-UA"/>
              </w:rPr>
              <w:t>В</w:t>
            </w:r>
            <w:r w:rsidRPr="000B4487">
              <w:rPr>
                <w:sz w:val="24"/>
                <w:szCs w:val="24"/>
                <w:lang w:val="uk-UA"/>
              </w:rPr>
              <w:t>досконалення правових механізмів захисту прав споживачів при придбанні товару неналежної якості в частині розширення їх переліку та випадків застосування.</w:t>
            </w:r>
          </w:p>
        </w:tc>
        <w:tc>
          <w:tcPr>
            <w:tcW w:w="4786" w:type="dxa"/>
          </w:tcPr>
          <w:p w:rsidR="00E60292" w:rsidRPr="000B4487" w:rsidRDefault="00E60292" w:rsidP="00EE45D5">
            <w:pPr>
              <w:tabs>
                <w:tab w:val="left" w:pos="700"/>
              </w:tabs>
              <w:spacing w:after="0" w:line="240" w:lineRule="auto"/>
              <w:jc w:val="both"/>
              <w:rPr>
                <w:sz w:val="24"/>
                <w:szCs w:val="24"/>
                <w:lang w:val="uk-UA"/>
              </w:rPr>
            </w:pPr>
            <w:r>
              <w:rPr>
                <w:sz w:val="24"/>
                <w:szCs w:val="24"/>
                <w:lang w:val="uk-UA" w:eastAsia="ru-RU"/>
              </w:rPr>
              <w:t>В</w:t>
            </w:r>
            <w:r>
              <w:rPr>
                <w:sz w:val="24"/>
                <w:szCs w:val="24"/>
                <w:lang w:val="uk-UA"/>
              </w:rPr>
              <w:t>несення змін до передбаченого в</w:t>
            </w:r>
            <w:r w:rsidRPr="000B4487">
              <w:rPr>
                <w:sz w:val="24"/>
                <w:szCs w:val="24"/>
                <w:lang w:val="uk-UA"/>
              </w:rPr>
              <w:t xml:space="preserve"> Цивільному кодексі України та Законі України «Про захист прав споживачів» переліку прав споживача (покупця) при придбанні товару неналежної якості шляхом доповнення його можливістю обміну такого товару чи повернення. Також пропонується вдосконалити визначення «істотний недолік», спростивши систему його ознак, допустити визнання його наявності без обов’язкової спроби усунення виявленого недоліку.</w:t>
            </w:r>
          </w:p>
        </w:tc>
      </w:tr>
    </w:tbl>
    <w:p w:rsidR="00674E2B" w:rsidRDefault="00674E2B" w:rsidP="00674E2B">
      <w:pPr>
        <w:pStyle w:val="1"/>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W w:w="0" w:type="auto"/>
        <w:tblBorders>
          <w:top w:val="single" w:sz="8" w:space="0" w:color="000000"/>
          <w:bottom w:val="single" w:sz="8" w:space="0" w:color="000000"/>
        </w:tblBorders>
        <w:tblLook w:val="00A0"/>
      </w:tblPr>
      <w:tblGrid>
        <w:gridCol w:w="402"/>
        <w:gridCol w:w="6936"/>
        <w:gridCol w:w="2233"/>
      </w:tblGrid>
      <w:tr w:rsidR="00674E2B" w:rsidRPr="00B9319E" w:rsidTr="00EE45D5">
        <w:tc>
          <w:tcPr>
            <w:tcW w:w="402" w:type="dxa"/>
            <w:tcBorders>
              <w:top w:val="single" w:sz="8" w:space="0" w:color="000000"/>
              <w:left w:val="nil"/>
              <w:bottom w:val="single" w:sz="8" w:space="0" w:color="000000"/>
              <w:right w:val="nil"/>
            </w:tcBorders>
          </w:tcPr>
          <w:p w:rsidR="00674E2B" w:rsidRPr="00B9319E" w:rsidRDefault="00674E2B" w:rsidP="00EE45D5">
            <w:pPr>
              <w:spacing w:after="0" w:line="240" w:lineRule="auto"/>
              <w:jc w:val="center"/>
              <w:rPr>
                <w:b/>
                <w:bCs/>
                <w:i/>
                <w:color w:val="000000"/>
                <w:sz w:val="24"/>
                <w:szCs w:val="24"/>
                <w:lang w:val="uk-UA"/>
              </w:rPr>
            </w:pPr>
          </w:p>
        </w:tc>
        <w:tc>
          <w:tcPr>
            <w:tcW w:w="6936" w:type="dxa"/>
            <w:tcBorders>
              <w:top w:val="single" w:sz="8" w:space="0" w:color="000000"/>
              <w:left w:val="nil"/>
              <w:bottom w:val="single" w:sz="8" w:space="0" w:color="000000"/>
              <w:right w:val="nil"/>
            </w:tcBorders>
          </w:tcPr>
          <w:p w:rsidR="00674E2B" w:rsidRPr="00B9319E" w:rsidRDefault="00674E2B" w:rsidP="00EE45D5">
            <w:pPr>
              <w:spacing w:after="0" w:line="240" w:lineRule="auto"/>
              <w:jc w:val="center"/>
              <w:rPr>
                <w:b/>
                <w:bCs/>
                <w:i/>
                <w:color w:val="000000"/>
                <w:sz w:val="24"/>
                <w:szCs w:val="24"/>
                <w:lang w:val="uk-UA"/>
              </w:rPr>
            </w:pPr>
            <w:proofErr w:type="spellStart"/>
            <w:r w:rsidRPr="00B9319E">
              <w:rPr>
                <w:b/>
                <w:bCs/>
                <w:i/>
                <w:color w:val="000000"/>
                <w:sz w:val="24"/>
                <w:szCs w:val="24"/>
                <w:lang w:val="uk-UA"/>
              </w:rPr>
              <w:t>Корупціогенний</w:t>
            </w:r>
            <w:proofErr w:type="spellEnd"/>
            <w:r w:rsidRPr="00B9319E">
              <w:rPr>
                <w:b/>
                <w:bCs/>
                <w:i/>
                <w:color w:val="000000"/>
                <w:sz w:val="24"/>
                <w:szCs w:val="24"/>
                <w:lang w:val="uk-UA"/>
              </w:rPr>
              <w:t xml:space="preserve"> чинник</w:t>
            </w:r>
          </w:p>
        </w:tc>
        <w:tc>
          <w:tcPr>
            <w:tcW w:w="2233" w:type="dxa"/>
            <w:tcBorders>
              <w:top w:val="single" w:sz="8" w:space="0" w:color="000000"/>
              <w:left w:val="nil"/>
              <w:bottom w:val="single" w:sz="8" w:space="0" w:color="000000"/>
              <w:right w:val="nil"/>
            </w:tcBorders>
          </w:tcPr>
          <w:p w:rsidR="00674E2B" w:rsidRPr="00B9319E" w:rsidRDefault="00674E2B" w:rsidP="00EE45D5">
            <w:pPr>
              <w:spacing w:after="0" w:line="240" w:lineRule="auto"/>
              <w:jc w:val="center"/>
              <w:rPr>
                <w:b/>
                <w:bCs/>
                <w:i/>
                <w:color w:val="000000"/>
                <w:sz w:val="24"/>
                <w:szCs w:val="24"/>
                <w:lang w:val="uk-UA"/>
              </w:rPr>
            </w:pPr>
            <w:r w:rsidRPr="00B9319E">
              <w:rPr>
                <w:b/>
                <w:bCs/>
                <w:i/>
                <w:color w:val="000000"/>
                <w:sz w:val="24"/>
                <w:szCs w:val="24"/>
                <w:lang w:val="uk-UA"/>
              </w:rPr>
              <w:t>Кількість норм</w:t>
            </w:r>
          </w:p>
        </w:tc>
      </w:tr>
      <w:tr w:rsidR="00674E2B" w:rsidRPr="00B9319E" w:rsidTr="00EE45D5">
        <w:tc>
          <w:tcPr>
            <w:tcW w:w="402" w:type="dxa"/>
            <w:tcBorders>
              <w:left w:val="nil"/>
              <w:right w:val="nil"/>
            </w:tcBorders>
            <w:shd w:val="clear" w:color="auto" w:fill="C0C0C0"/>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1.</w:t>
            </w:r>
          </w:p>
        </w:tc>
        <w:tc>
          <w:tcPr>
            <w:tcW w:w="6936" w:type="dxa"/>
            <w:tcBorders>
              <w:left w:val="nil"/>
              <w:right w:val="nil"/>
            </w:tcBorders>
            <w:shd w:val="clear" w:color="auto" w:fill="C0C0C0"/>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left w:val="nil"/>
              <w:right w:val="nil"/>
            </w:tcBorders>
            <w:shd w:val="clear" w:color="auto" w:fill="C0C0C0"/>
          </w:tcPr>
          <w:p w:rsidR="00674E2B" w:rsidRPr="00B9319E" w:rsidRDefault="00E60292" w:rsidP="00EE45D5">
            <w:pPr>
              <w:spacing w:after="0" w:line="240" w:lineRule="auto"/>
              <w:jc w:val="center"/>
              <w:rPr>
                <w:color w:val="000000"/>
                <w:sz w:val="24"/>
                <w:szCs w:val="24"/>
                <w:lang w:val="uk-UA"/>
              </w:rPr>
            </w:pPr>
            <w:r>
              <w:rPr>
                <w:color w:val="000000"/>
                <w:sz w:val="24"/>
                <w:szCs w:val="24"/>
                <w:lang w:val="uk-UA"/>
              </w:rPr>
              <w:t>Не виявлено</w:t>
            </w:r>
          </w:p>
        </w:tc>
      </w:tr>
      <w:tr w:rsidR="00674E2B" w:rsidRPr="00B9319E" w:rsidTr="00EE45D5">
        <w:tc>
          <w:tcPr>
            <w:tcW w:w="402" w:type="dxa"/>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2.</w:t>
            </w:r>
          </w:p>
        </w:tc>
        <w:tc>
          <w:tcPr>
            <w:tcW w:w="6936" w:type="dxa"/>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Порушення балансу інтересів та надмірні обтяження для одержувачів публічних послуг</w:t>
            </w:r>
          </w:p>
        </w:tc>
        <w:tc>
          <w:tcPr>
            <w:tcW w:w="2233" w:type="dxa"/>
          </w:tcPr>
          <w:p w:rsidR="00674E2B" w:rsidRPr="00B9319E" w:rsidRDefault="00E60292" w:rsidP="00EE45D5">
            <w:pPr>
              <w:spacing w:after="0" w:line="240" w:lineRule="auto"/>
              <w:jc w:val="center"/>
              <w:rPr>
                <w:color w:val="000000"/>
                <w:sz w:val="24"/>
                <w:szCs w:val="24"/>
                <w:lang w:val="uk-UA"/>
              </w:rPr>
            </w:pPr>
            <w:r>
              <w:rPr>
                <w:color w:val="000000"/>
                <w:sz w:val="24"/>
                <w:szCs w:val="24"/>
                <w:lang w:val="uk-UA"/>
              </w:rPr>
              <w:t>Не виявлено</w:t>
            </w:r>
          </w:p>
        </w:tc>
      </w:tr>
      <w:tr w:rsidR="00674E2B" w:rsidRPr="00B9319E" w:rsidTr="00EE45D5">
        <w:tc>
          <w:tcPr>
            <w:tcW w:w="402" w:type="dxa"/>
            <w:tcBorders>
              <w:left w:val="nil"/>
              <w:right w:val="nil"/>
            </w:tcBorders>
            <w:shd w:val="clear" w:color="auto" w:fill="C0C0C0"/>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3.</w:t>
            </w:r>
          </w:p>
        </w:tc>
        <w:tc>
          <w:tcPr>
            <w:tcW w:w="6936" w:type="dxa"/>
            <w:tcBorders>
              <w:left w:val="nil"/>
              <w:right w:val="nil"/>
            </w:tcBorders>
            <w:shd w:val="clear" w:color="auto" w:fill="C0C0C0"/>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Прогалини правового регулювання</w:t>
            </w:r>
          </w:p>
        </w:tc>
        <w:tc>
          <w:tcPr>
            <w:tcW w:w="2233" w:type="dxa"/>
            <w:tcBorders>
              <w:left w:val="nil"/>
              <w:right w:val="nil"/>
            </w:tcBorders>
            <w:shd w:val="clear" w:color="auto" w:fill="C0C0C0"/>
          </w:tcPr>
          <w:p w:rsidR="00674E2B" w:rsidRPr="00E60292" w:rsidRDefault="00E60292" w:rsidP="00EE45D5">
            <w:pPr>
              <w:spacing w:after="0" w:line="240" w:lineRule="auto"/>
              <w:jc w:val="center"/>
              <w:rPr>
                <w:color w:val="000000"/>
                <w:sz w:val="24"/>
                <w:szCs w:val="24"/>
                <w:lang w:val="uk-UA"/>
              </w:rPr>
            </w:pPr>
            <w:r w:rsidRPr="00E60292">
              <w:rPr>
                <w:color w:val="000000"/>
                <w:sz w:val="24"/>
                <w:szCs w:val="24"/>
                <w:lang w:val="uk-UA"/>
              </w:rPr>
              <w:t>3</w:t>
            </w:r>
          </w:p>
        </w:tc>
      </w:tr>
      <w:tr w:rsidR="00674E2B" w:rsidRPr="00B9319E" w:rsidTr="00EE45D5">
        <w:tc>
          <w:tcPr>
            <w:tcW w:w="402" w:type="dxa"/>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4.</w:t>
            </w:r>
          </w:p>
        </w:tc>
        <w:tc>
          <w:tcPr>
            <w:tcW w:w="6936" w:type="dxa"/>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Колізії в законодавстві</w:t>
            </w:r>
          </w:p>
        </w:tc>
        <w:tc>
          <w:tcPr>
            <w:tcW w:w="2233" w:type="dxa"/>
          </w:tcPr>
          <w:p w:rsidR="00674E2B" w:rsidRPr="00B9319E" w:rsidRDefault="00674E2B"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674E2B" w:rsidRPr="00B9319E" w:rsidTr="00EE45D5">
        <w:tc>
          <w:tcPr>
            <w:tcW w:w="402" w:type="dxa"/>
            <w:tcBorders>
              <w:left w:val="nil"/>
              <w:right w:val="nil"/>
            </w:tcBorders>
            <w:shd w:val="clear" w:color="auto" w:fill="C0C0C0"/>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5.</w:t>
            </w:r>
          </w:p>
        </w:tc>
        <w:tc>
          <w:tcPr>
            <w:tcW w:w="6936" w:type="dxa"/>
            <w:tcBorders>
              <w:left w:val="nil"/>
              <w:right w:val="nil"/>
            </w:tcBorders>
            <w:shd w:val="clear" w:color="auto" w:fill="C0C0C0"/>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left w:val="nil"/>
              <w:right w:val="nil"/>
            </w:tcBorders>
            <w:shd w:val="clear" w:color="auto" w:fill="C0C0C0"/>
          </w:tcPr>
          <w:p w:rsidR="00674E2B" w:rsidRPr="00B9319E" w:rsidRDefault="00674E2B"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674E2B" w:rsidRPr="00B9319E" w:rsidTr="00EE45D5">
        <w:tc>
          <w:tcPr>
            <w:tcW w:w="402" w:type="dxa"/>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6.</w:t>
            </w:r>
          </w:p>
        </w:tc>
        <w:tc>
          <w:tcPr>
            <w:tcW w:w="6936" w:type="dxa"/>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Надмірна кількість органів влади, з якими має контакт приватний сектор згідно процедури</w:t>
            </w:r>
          </w:p>
        </w:tc>
        <w:tc>
          <w:tcPr>
            <w:tcW w:w="2233" w:type="dxa"/>
          </w:tcPr>
          <w:p w:rsidR="00674E2B" w:rsidRPr="00B9319E" w:rsidRDefault="00674E2B"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674E2B" w:rsidRPr="00B9319E" w:rsidTr="00EE45D5">
        <w:tc>
          <w:tcPr>
            <w:tcW w:w="402" w:type="dxa"/>
            <w:tcBorders>
              <w:left w:val="nil"/>
              <w:right w:val="nil"/>
            </w:tcBorders>
            <w:shd w:val="clear" w:color="auto" w:fill="C0C0C0"/>
          </w:tcPr>
          <w:p w:rsidR="00674E2B" w:rsidRPr="00B9319E" w:rsidRDefault="00674E2B" w:rsidP="00EE45D5">
            <w:pPr>
              <w:spacing w:after="0" w:line="240" w:lineRule="auto"/>
              <w:rPr>
                <w:b/>
                <w:bCs/>
                <w:color w:val="000000"/>
                <w:sz w:val="24"/>
                <w:szCs w:val="24"/>
                <w:lang w:val="uk-UA"/>
              </w:rPr>
            </w:pPr>
            <w:r w:rsidRPr="00B9319E">
              <w:rPr>
                <w:bCs/>
                <w:color w:val="000000"/>
                <w:sz w:val="24"/>
                <w:szCs w:val="24"/>
                <w:lang w:val="uk-UA"/>
              </w:rPr>
              <w:t>7.</w:t>
            </w:r>
          </w:p>
        </w:tc>
        <w:tc>
          <w:tcPr>
            <w:tcW w:w="6936" w:type="dxa"/>
            <w:tcBorders>
              <w:left w:val="nil"/>
              <w:right w:val="nil"/>
            </w:tcBorders>
            <w:shd w:val="clear" w:color="auto" w:fill="C0C0C0"/>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Поєднання нормотворчих та контролюючих функцій в одному органі влади</w:t>
            </w:r>
          </w:p>
        </w:tc>
        <w:tc>
          <w:tcPr>
            <w:tcW w:w="2233" w:type="dxa"/>
            <w:tcBorders>
              <w:left w:val="nil"/>
              <w:right w:val="nil"/>
            </w:tcBorders>
            <w:shd w:val="clear" w:color="auto" w:fill="C0C0C0"/>
          </w:tcPr>
          <w:p w:rsidR="00674E2B" w:rsidRPr="00B9319E" w:rsidRDefault="00674E2B"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674E2B" w:rsidRPr="00B9319E" w:rsidTr="00EE45D5">
        <w:tc>
          <w:tcPr>
            <w:tcW w:w="402" w:type="dxa"/>
            <w:tcBorders>
              <w:bottom w:val="single" w:sz="8" w:space="0" w:color="000000"/>
            </w:tcBorders>
          </w:tcPr>
          <w:p w:rsidR="00674E2B" w:rsidRPr="00FC515C" w:rsidRDefault="00674E2B" w:rsidP="00EE45D5">
            <w:pPr>
              <w:spacing w:after="0" w:line="240" w:lineRule="auto"/>
              <w:rPr>
                <w:bCs/>
                <w:color w:val="000000"/>
                <w:sz w:val="24"/>
                <w:szCs w:val="24"/>
                <w:lang w:val="uk-UA"/>
              </w:rPr>
            </w:pPr>
            <w:r w:rsidRPr="00FC515C">
              <w:rPr>
                <w:bCs/>
                <w:color w:val="000000"/>
                <w:sz w:val="24"/>
                <w:szCs w:val="24"/>
                <w:lang w:val="uk-UA"/>
              </w:rPr>
              <w:t>8.</w:t>
            </w:r>
          </w:p>
        </w:tc>
        <w:tc>
          <w:tcPr>
            <w:tcW w:w="6936" w:type="dxa"/>
            <w:tcBorders>
              <w:bottom w:val="single" w:sz="8" w:space="0" w:color="000000"/>
            </w:tcBorders>
          </w:tcPr>
          <w:p w:rsidR="00674E2B" w:rsidRPr="00B9319E" w:rsidRDefault="00674E2B" w:rsidP="00EE45D5">
            <w:pPr>
              <w:spacing w:after="0" w:line="240" w:lineRule="auto"/>
              <w:rPr>
                <w:color w:val="000000"/>
                <w:sz w:val="24"/>
                <w:szCs w:val="24"/>
                <w:lang w:val="uk-UA"/>
              </w:rPr>
            </w:pPr>
            <w:r w:rsidRPr="00075FCC">
              <w:rPr>
                <w:rFonts w:cs="Arial"/>
                <w:color w:val="000000"/>
                <w:sz w:val="24"/>
                <w:szCs w:val="24"/>
                <w:lang w:val="uk-UA" w:eastAsia="ru-RU"/>
              </w:rPr>
              <w:t>Конфлікт інтересів ініціаторів законопроекту, що може призвести до отримання неправомірної вигоди</w:t>
            </w:r>
          </w:p>
        </w:tc>
        <w:tc>
          <w:tcPr>
            <w:tcW w:w="2233" w:type="dxa"/>
            <w:tcBorders>
              <w:bottom w:val="single" w:sz="8" w:space="0" w:color="000000"/>
            </w:tcBorders>
          </w:tcPr>
          <w:p w:rsidR="00674E2B" w:rsidRPr="00FC515C" w:rsidRDefault="00674E2B" w:rsidP="00EE45D5">
            <w:pPr>
              <w:spacing w:after="0" w:line="240" w:lineRule="auto"/>
              <w:jc w:val="center"/>
              <w:rPr>
                <w:color w:val="000000"/>
                <w:sz w:val="24"/>
                <w:szCs w:val="24"/>
                <w:lang w:val="uk-UA"/>
              </w:rPr>
            </w:pPr>
            <w:r w:rsidRPr="00FC515C">
              <w:rPr>
                <w:color w:val="000000"/>
                <w:sz w:val="24"/>
                <w:szCs w:val="24"/>
                <w:lang w:val="uk-UA"/>
              </w:rPr>
              <w:t>Не виявлено</w:t>
            </w:r>
          </w:p>
        </w:tc>
      </w:tr>
      <w:tr w:rsidR="00674E2B" w:rsidRPr="00B9319E" w:rsidTr="00EE45D5">
        <w:tc>
          <w:tcPr>
            <w:tcW w:w="402" w:type="dxa"/>
            <w:tcBorders>
              <w:bottom w:val="single" w:sz="8" w:space="0" w:color="000000"/>
            </w:tcBorders>
          </w:tcPr>
          <w:p w:rsidR="00674E2B" w:rsidRPr="00B9319E" w:rsidRDefault="00674E2B" w:rsidP="00EE45D5">
            <w:pPr>
              <w:spacing w:after="0" w:line="240" w:lineRule="auto"/>
              <w:rPr>
                <w:b/>
                <w:bCs/>
                <w:color w:val="000000"/>
                <w:sz w:val="24"/>
                <w:szCs w:val="24"/>
                <w:lang w:val="uk-UA"/>
              </w:rPr>
            </w:pPr>
          </w:p>
        </w:tc>
        <w:tc>
          <w:tcPr>
            <w:tcW w:w="6936" w:type="dxa"/>
            <w:tcBorders>
              <w:bottom w:val="single" w:sz="8" w:space="0" w:color="000000"/>
            </w:tcBorders>
          </w:tcPr>
          <w:p w:rsidR="00674E2B" w:rsidRPr="00B9319E" w:rsidRDefault="00674E2B" w:rsidP="00EE45D5">
            <w:pPr>
              <w:spacing w:after="0" w:line="240" w:lineRule="auto"/>
              <w:rPr>
                <w:color w:val="000000"/>
                <w:sz w:val="24"/>
                <w:szCs w:val="24"/>
                <w:lang w:val="uk-UA"/>
              </w:rPr>
            </w:pPr>
            <w:r w:rsidRPr="00B9319E">
              <w:rPr>
                <w:color w:val="000000"/>
                <w:sz w:val="24"/>
                <w:szCs w:val="24"/>
                <w:lang w:val="uk-UA"/>
              </w:rPr>
              <w:t>Всього</w:t>
            </w:r>
          </w:p>
        </w:tc>
        <w:tc>
          <w:tcPr>
            <w:tcW w:w="2233" w:type="dxa"/>
            <w:tcBorders>
              <w:bottom w:val="single" w:sz="8" w:space="0" w:color="000000"/>
            </w:tcBorders>
          </w:tcPr>
          <w:p w:rsidR="00674E2B" w:rsidRPr="00B9319E" w:rsidRDefault="00E60292" w:rsidP="00EE45D5">
            <w:pPr>
              <w:spacing w:after="0" w:line="240" w:lineRule="auto"/>
              <w:jc w:val="center"/>
              <w:rPr>
                <w:b/>
                <w:color w:val="000000"/>
                <w:sz w:val="24"/>
                <w:szCs w:val="24"/>
                <w:lang w:val="uk-UA"/>
              </w:rPr>
            </w:pPr>
            <w:r>
              <w:rPr>
                <w:b/>
                <w:color w:val="000000"/>
                <w:sz w:val="24"/>
                <w:szCs w:val="24"/>
                <w:lang w:val="uk-UA"/>
              </w:rPr>
              <w:t>3</w:t>
            </w:r>
          </w:p>
        </w:tc>
      </w:tr>
    </w:tbl>
    <w:p w:rsidR="00674E2B" w:rsidRPr="001E2478" w:rsidRDefault="00674E2B" w:rsidP="00674E2B">
      <w:pPr>
        <w:pStyle w:val="1"/>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7"/>
        <w:gridCol w:w="4498"/>
        <w:gridCol w:w="2153"/>
      </w:tblGrid>
      <w:tr w:rsidR="00674E2B" w:rsidRPr="00B9319E" w:rsidTr="00E60292">
        <w:tc>
          <w:tcPr>
            <w:tcW w:w="2917" w:type="dxa"/>
          </w:tcPr>
          <w:p w:rsidR="00674E2B" w:rsidRPr="00B9319E" w:rsidRDefault="00674E2B" w:rsidP="00EE45D5">
            <w:pPr>
              <w:spacing w:after="0" w:line="240" w:lineRule="auto"/>
              <w:jc w:val="center"/>
              <w:rPr>
                <w:sz w:val="24"/>
                <w:szCs w:val="24"/>
                <w:lang w:val="uk-UA"/>
              </w:rPr>
            </w:pPr>
            <w:r w:rsidRPr="00B9319E">
              <w:rPr>
                <w:sz w:val="24"/>
                <w:szCs w:val="24"/>
                <w:lang w:val="uk-UA"/>
              </w:rPr>
              <w:t>Стаття законопроекту</w:t>
            </w:r>
          </w:p>
        </w:tc>
        <w:tc>
          <w:tcPr>
            <w:tcW w:w="4498" w:type="dxa"/>
          </w:tcPr>
          <w:p w:rsidR="00674E2B" w:rsidRPr="00B9319E" w:rsidRDefault="00674E2B" w:rsidP="00EE45D5">
            <w:pPr>
              <w:spacing w:after="0" w:line="240" w:lineRule="auto"/>
              <w:jc w:val="center"/>
              <w:rPr>
                <w:sz w:val="24"/>
                <w:szCs w:val="24"/>
                <w:lang w:val="uk-UA"/>
              </w:rPr>
            </w:pPr>
            <w:proofErr w:type="spellStart"/>
            <w:r w:rsidRPr="00B9319E">
              <w:rPr>
                <w:sz w:val="24"/>
                <w:szCs w:val="24"/>
                <w:lang w:val="uk-UA"/>
              </w:rPr>
              <w:t>Корупціогенний</w:t>
            </w:r>
            <w:proofErr w:type="spellEnd"/>
            <w:r w:rsidRPr="00B9319E">
              <w:rPr>
                <w:sz w:val="24"/>
                <w:szCs w:val="24"/>
                <w:lang w:val="uk-UA"/>
              </w:rPr>
              <w:t xml:space="preserve"> чинник</w:t>
            </w:r>
          </w:p>
        </w:tc>
        <w:tc>
          <w:tcPr>
            <w:tcW w:w="2153" w:type="dxa"/>
          </w:tcPr>
          <w:p w:rsidR="00674E2B" w:rsidRPr="00B9319E" w:rsidRDefault="00674E2B" w:rsidP="00EE45D5">
            <w:pPr>
              <w:spacing w:after="0" w:line="240" w:lineRule="auto"/>
              <w:jc w:val="center"/>
              <w:rPr>
                <w:sz w:val="24"/>
                <w:szCs w:val="24"/>
                <w:lang w:val="uk-UA"/>
              </w:rPr>
            </w:pPr>
            <w:r w:rsidRPr="00B9319E">
              <w:rPr>
                <w:sz w:val="24"/>
                <w:szCs w:val="24"/>
                <w:lang w:val="uk-UA"/>
              </w:rPr>
              <w:t>Наслідок</w:t>
            </w:r>
          </w:p>
        </w:tc>
      </w:tr>
      <w:tr w:rsidR="00E60292" w:rsidRPr="004D25F8" w:rsidTr="00E60292">
        <w:trPr>
          <w:trHeight w:val="1380"/>
        </w:trPr>
        <w:tc>
          <w:tcPr>
            <w:tcW w:w="2917" w:type="dxa"/>
          </w:tcPr>
          <w:p w:rsidR="00E60292" w:rsidRPr="00653095" w:rsidRDefault="00E60292" w:rsidP="00EE45D5">
            <w:pPr>
              <w:spacing w:after="0" w:line="240" w:lineRule="auto"/>
              <w:rPr>
                <w:sz w:val="24"/>
                <w:szCs w:val="24"/>
                <w:lang w:val="uk-UA"/>
              </w:rPr>
            </w:pPr>
            <w:r>
              <w:rPr>
                <w:sz w:val="24"/>
                <w:szCs w:val="24"/>
                <w:lang w:val="uk-UA"/>
              </w:rPr>
              <w:t xml:space="preserve">Пункти 2 і 4 частини 1 ст. 678 Цивільного кодексу, а також пункти 2 і 4 ч. 1 ст. 8 Закону «Про захист прав споживачів» в </w:t>
            </w:r>
            <w:proofErr w:type="spellStart"/>
            <w:r>
              <w:rPr>
                <w:sz w:val="24"/>
                <w:szCs w:val="24"/>
                <w:lang w:val="uk-UA"/>
              </w:rPr>
              <w:t>запропонованихредакціях</w:t>
            </w:r>
            <w:proofErr w:type="spellEnd"/>
            <w:r>
              <w:rPr>
                <w:sz w:val="24"/>
                <w:szCs w:val="24"/>
                <w:lang w:val="uk-UA"/>
              </w:rPr>
              <w:t xml:space="preserve"> </w:t>
            </w:r>
          </w:p>
        </w:tc>
        <w:tc>
          <w:tcPr>
            <w:tcW w:w="4498" w:type="dxa"/>
          </w:tcPr>
          <w:p w:rsidR="00E60292" w:rsidRPr="002860D8" w:rsidRDefault="00E60292" w:rsidP="00EE45D5">
            <w:pPr>
              <w:pStyle w:val="HTML"/>
              <w:shd w:val="clear" w:color="auto" w:fill="FFFFFF"/>
              <w:textAlignment w:val="baseline"/>
              <w:rPr>
                <w:rFonts w:ascii="Calibri" w:hAnsi="Calibri"/>
                <w:b/>
                <w:sz w:val="24"/>
                <w:szCs w:val="24"/>
              </w:rPr>
            </w:pPr>
            <w:r>
              <w:rPr>
                <w:rFonts w:ascii="Calibri" w:hAnsi="Calibri"/>
                <w:b/>
                <w:sz w:val="24"/>
                <w:szCs w:val="24"/>
              </w:rPr>
              <w:t>Прогалини</w:t>
            </w:r>
            <w:r w:rsidRPr="002860D8">
              <w:rPr>
                <w:rFonts w:ascii="Calibri" w:hAnsi="Calibri"/>
                <w:b/>
                <w:sz w:val="24"/>
                <w:szCs w:val="24"/>
              </w:rPr>
              <w:t xml:space="preserve"> правового регулювання. </w:t>
            </w:r>
          </w:p>
          <w:p w:rsidR="00E60292" w:rsidRDefault="00E60292" w:rsidP="00EE45D5">
            <w:pPr>
              <w:pStyle w:val="HTML"/>
              <w:shd w:val="clear" w:color="auto" w:fill="FFFFFF"/>
              <w:textAlignment w:val="baseline"/>
              <w:rPr>
                <w:rFonts w:ascii="Calibri" w:hAnsi="Calibri"/>
                <w:sz w:val="24"/>
                <w:szCs w:val="24"/>
              </w:rPr>
            </w:pPr>
            <w:r>
              <w:rPr>
                <w:rFonts w:ascii="Calibri" w:hAnsi="Calibri"/>
                <w:sz w:val="24"/>
                <w:szCs w:val="24"/>
              </w:rPr>
              <w:t>Частина</w:t>
            </w:r>
            <w:r w:rsidRPr="002860D8">
              <w:rPr>
                <w:rFonts w:ascii="Calibri" w:hAnsi="Calibri"/>
                <w:sz w:val="24"/>
                <w:szCs w:val="24"/>
              </w:rPr>
              <w:t xml:space="preserve"> 1 ст. 678 Цивільног</w:t>
            </w:r>
            <w:r>
              <w:rPr>
                <w:rFonts w:ascii="Calibri" w:hAnsi="Calibri"/>
                <w:sz w:val="24"/>
                <w:szCs w:val="24"/>
              </w:rPr>
              <w:t>о кодексу України доповнюється положеннями</w:t>
            </w:r>
            <w:r w:rsidRPr="002860D8">
              <w:rPr>
                <w:rFonts w:ascii="Calibri" w:hAnsi="Calibri"/>
                <w:sz w:val="24"/>
                <w:szCs w:val="24"/>
              </w:rPr>
              <w:t xml:space="preserve"> про можливість за </w:t>
            </w:r>
            <w:r>
              <w:rPr>
                <w:rFonts w:ascii="Calibri" w:hAnsi="Calibri"/>
                <w:sz w:val="24"/>
                <w:szCs w:val="24"/>
              </w:rPr>
              <w:t xml:space="preserve">вибором споживача вимагати </w:t>
            </w:r>
            <w:r w:rsidRPr="002860D8">
              <w:rPr>
                <w:rFonts w:ascii="Calibri" w:hAnsi="Calibri"/>
                <w:sz w:val="24"/>
                <w:szCs w:val="24"/>
              </w:rPr>
              <w:t xml:space="preserve">заміни </w:t>
            </w:r>
            <w:r>
              <w:rPr>
                <w:rFonts w:ascii="Calibri" w:hAnsi="Calibri"/>
                <w:sz w:val="24"/>
                <w:szCs w:val="24"/>
              </w:rPr>
              <w:t xml:space="preserve">товару неналежної якості </w:t>
            </w:r>
            <w:r w:rsidRPr="002860D8">
              <w:rPr>
                <w:rFonts w:ascii="Calibri" w:hAnsi="Calibri"/>
                <w:sz w:val="24"/>
                <w:szCs w:val="24"/>
              </w:rPr>
              <w:t xml:space="preserve">або на товар аналогічної марки (моделі, артикулу, модифікації) належної якості, або на такий же товар іншої марки (моделі, артикулу, модифікації) з </w:t>
            </w:r>
            <w:r w:rsidRPr="002860D8">
              <w:rPr>
                <w:rFonts w:ascii="Calibri" w:hAnsi="Calibri"/>
                <w:sz w:val="24"/>
                <w:szCs w:val="24"/>
              </w:rPr>
              <w:lastRenderedPageBreak/>
              <w:t>відповідним перерахуванням купівельної ціни. При цьому част</w:t>
            </w:r>
            <w:r>
              <w:rPr>
                <w:rFonts w:ascii="Calibri" w:hAnsi="Calibri"/>
                <w:sz w:val="24"/>
                <w:szCs w:val="24"/>
              </w:rPr>
              <w:t>ину 2 цієї ж статті, де йдеться</w:t>
            </w:r>
            <w:r w:rsidRPr="002860D8">
              <w:rPr>
                <w:rFonts w:ascii="Calibri" w:hAnsi="Calibri"/>
                <w:sz w:val="24"/>
                <w:szCs w:val="24"/>
              </w:rPr>
              <w:t xml:space="preserve"> про товар з істотним порушенням вимог щодо якості, законопроект залишає без змін в частині вимоги заміни товару, не конкретизую</w:t>
            </w:r>
            <w:r>
              <w:rPr>
                <w:rFonts w:ascii="Calibri" w:hAnsi="Calibri"/>
                <w:sz w:val="24"/>
                <w:szCs w:val="24"/>
              </w:rPr>
              <w:t xml:space="preserve">чи умови такої заміни. </w:t>
            </w:r>
            <w:r w:rsidRPr="002860D8">
              <w:rPr>
                <w:rFonts w:ascii="Calibri" w:hAnsi="Calibri"/>
                <w:sz w:val="24"/>
                <w:szCs w:val="24"/>
              </w:rPr>
              <w:t xml:space="preserve"> </w:t>
            </w:r>
            <w:r>
              <w:rPr>
                <w:rFonts w:ascii="Calibri" w:hAnsi="Calibri"/>
                <w:sz w:val="24"/>
                <w:szCs w:val="24"/>
              </w:rPr>
              <w:t>Як результат, в</w:t>
            </w:r>
            <w:r w:rsidRPr="002860D8">
              <w:rPr>
                <w:rFonts w:ascii="Calibri" w:hAnsi="Calibri"/>
                <w:sz w:val="24"/>
                <w:szCs w:val="24"/>
              </w:rPr>
              <w:t xml:space="preserve">иникає прогалина в правовому регулюванні, </w:t>
            </w:r>
            <w:r>
              <w:rPr>
                <w:rFonts w:ascii="Calibri" w:hAnsi="Calibri"/>
                <w:sz w:val="24"/>
                <w:szCs w:val="24"/>
              </w:rPr>
              <w:t>адже залишається невирішеним</w:t>
            </w:r>
            <w:r w:rsidRPr="002860D8">
              <w:rPr>
                <w:rFonts w:ascii="Calibri" w:hAnsi="Calibri"/>
                <w:sz w:val="24"/>
                <w:szCs w:val="24"/>
              </w:rPr>
              <w:t xml:space="preserve"> питання про </w:t>
            </w:r>
            <w:r>
              <w:rPr>
                <w:rFonts w:ascii="Calibri" w:hAnsi="Calibri"/>
                <w:sz w:val="24"/>
                <w:szCs w:val="24"/>
              </w:rPr>
              <w:t xml:space="preserve">можливість заміни такого товару на </w:t>
            </w:r>
            <w:r w:rsidRPr="002860D8">
              <w:rPr>
                <w:rFonts w:ascii="Calibri" w:hAnsi="Calibri"/>
                <w:sz w:val="24"/>
                <w:szCs w:val="24"/>
              </w:rPr>
              <w:t xml:space="preserve">товар аналогічної марки (моделі, артикулу, модифікації) належної якості, або на такий же товар іншої марки (моделі, артикулу, модифікації) </w:t>
            </w:r>
            <w:r>
              <w:rPr>
                <w:rFonts w:ascii="Calibri" w:hAnsi="Calibri"/>
                <w:sz w:val="24"/>
                <w:szCs w:val="24"/>
              </w:rPr>
              <w:t>за аналогію з пунктами 2 і 4 ч. 1 ст. 678 Цивільного кодексу в пропонованій редакції.</w:t>
            </w:r>
          </w:p>
          <w:p w:rsidR="00E60292" w:rsidRPr="00653095" w:rsidRDefault="00E60292" w:rsidP="00E60292">
            <w:pPr>
              <w:pStyle w:val="HTML"/>
              <w:shd w:val="clear" w:color="auto" w:fill="FFFFFF"/>
              <w:textAlignment w:val="baseline"/>
              <w:rPr>
                <w:b/>
                <w:sz w:val="24"/>
                <w:szCs w:val="24"/>
              </w:rPr>
            </w:pPr>
            <w:r>
              <w:rPr>
                <w:rFonts w:ascii="Calibri" w:hAnsi="Calibri"/>
                <w:sz w:val="24"/>
                <w:szCs w:val="24"/>
              </w:rPr>
              <w:t>Аналогічна прогалина</w:t>
            </w:r>
            <w:r w:rsidRPr="00824479">
              <w:rPr>
                <w:rFonts w:ascii="Calibri" w:hAnsi="Calibri"/>
                <w:sz w:val="24"/>
                <w:szCs w:val="24"/>
              </w:rPr>
              <w:t xml:space="preserve"> закладен</w:t>
            </w:r>
            <w:r>
              <w:rPr>
                <w:rFonts w:ascii="Calibri" w:hAnsi="Calibri"/>
                <w:sz w:val="24"/>
                <w:szCs w:val="24"/>
              </w:rPr>
              <w:t>а законопроектом і в</w:t>
            </w:r>
            <w:r w:rsidRPr="00824479">
              <w:rPr>
                <w:rFonts w:ascii="Calibri" w:hAnsi="Calibri"/>
                <w:sz w:val="24"/>
                <w:szCs w:val="24"/>
              </w:rPr>
              <w:t xml:space="preserve"> зміни до пунктів 2 і 4 ч. 1 ст. 8 Закону України «Про захист прав споживачів».</w:t>
            </w:r>
          </w:p>
        </w:tc>
        <w:tc>
          <w:tcPr>
            <w:tcW w:w="2153" w:type="dxa"/>
          </w:tcPr>
          <w:p w:rsidR="00E60292" w:rsidRPr="00507DF4" w:rsidRDefault="00E60292" w:rsidP="00EE45D5">
            <w:pPr>
              <w:spacing w:after="0" w:line="240" w:lineRule="auto"/>
              <w:rPr>
                <w:sz w:val="24"/>
                <w:szCs w:val="24"/>
                <w:lang w:val="uk-UA"/>
              </w:rPr>
            </w:pPr>
            <w:r w:rsidRPr="002860D8">
              <w:rPr>
                <w:sz w:val="24"/>
                <w:szCs w:val="24"/>
                <w:lang w:val="uk-UA"/>
              </w:rPr>
              <w:lastRenderedPageBreak/>
              <w:t>Наявність прогалин</w:t>
            </w:r>
            <w:r>
              <w:rPr>
                <w:sz w:val="24"/>
                <w:szCs w:val="24"/>
                <w:lang w:val="uk-UA"/>
              </w:rPr>
              <w:t xml:space="preserve"> у</w:t>
            </w:r>
            <w:r w:rsidRPr="002860D8">
              <w:rPr>
                <w:sz w:val="24"/>
                <w:szCs w:val="24"/>
                <w:lang w:val="uk-UA"/>
              </w:rPr>
              <w:t xml:space="preserve"> нормативн</w:t>
            </w:r>
            <w:r>
              <w:rPr>
                <w:sz w:val="24"/>
                <w:szCs w:val="24"/>
                <w:lang w:val="uk-UA"/>
              </w:rPr>
              <w:t xml:space="preserve">ому регулюванні умов </w:t>
            </w:r>
            <w:r w:rsidRPr="002860D8">
              <w:rPr>
                <w:sz w:val="24"/>
                <w:szCs w:val="24"/>
                <w:lang w:val="uk-UA"/>
              </w:rPr>
              <w:t xml:space="preserve">заміни товару в разі істотного порушення вимог щодо його якості сприяє надмірній </w:t>
            </w:r>
            <w:r w:rsidRPr="002860D8">
              <w:rPr>
                <w:sz w:val="24"/>
                <w:szCs w:val="24"/>
                <w:lang w:val="uk-UA"/>
              </w:rPr>
              <w:lastRenderedPageBreak/>
              <w:t>широті розсуду з боку особи, уповноваженої на вирішення такого спору, а отже – ств</w:t>
            </w:r>
            <w:r>
              <w:rPr>
                <w:sz w:val="24"/>
                <w:szCs w:val="24"/>
                <w:lang w:val="uk-UA"/>
              </w:rPr>
              <w:t xml:space="preserve">орює </w:t>
            </w:r>
            <w:proofErr w:type="spellStart"/>
            <w:r>
              <w:rPr>
                <w:sz w:val="24"/>
                <w:szCs w:val="24"/>
                <w:lang w:val="uk-UA"/>
              </w:rPr>
              <w:t>підгрунтя</w:t>
            </w:r>
            <w:proofErr w:type="spellEnd"/>
            <w:r>
              <w:rPr>
                <w:sz w:val="24"/>
                <w:szCs w:val="24"/>
                <w:lang w:val="uk-UA"/>
              </w:rPr>
              <w:t xml:space="preserve"> для вимагання нею</w:t>
            </w:r>
            <w:r w:rsidRPr="002860D8">
              <w:rPr>
                <w:sz w:val="24"/>
                <w:szCs w:val="24"/>
                <w:lang w:val="uk-UA"/>
              </w:rPr>
              <w:t xml:space="preserve"> неправомірної вигоди за прийняття позитивного рішення.</w:t>
            </w:r>
          </w:p>
        </w:tc>
      </w:tr>
      <w:tr w:rsidR="00E60292" w:rsidRPr="00E60292" w:rsidTr="00E60292">
        <w:trPr>
          <w:trHeight w:val="330"/>
        </w:trPr>
        <w:tc>
          <w:tcPr>
            <w:tcW w:w="2917" w:type="dxa"/>
          </w:tcPr>
          <w:p w:rsidR="00E60292" w:rsidRDefault="00E60292" w:rsidP="00EE45D5">
            <w:pPr>
              <w:spacing w:after="0" w:line="240" w:lineRule="auto"/>
              <w:rPr>
                <w:sz w:val="24"/>
                <w:szCs w:val="24"/>
                <w:lang w:val="uk-UA"/>
              </w:rPr>
            </w:pPr>
            <w:r>
              <w:rPr>
                <w:sz w:val="24"/>
                <w:szCs w:val="24"/>
                <w:lang w:val="uk-UA"/>
              </w:rPr>
              <w:lastRenderedPageBreak/>
              <w:t xml:space="preserve">Пункт 4 ч. 1 ст. 678 Цивільного кодексу, а також пункт 4 ч. 1 ст. 8 Закону «Про захист прав споживачів» у </w:t>
            </w:r>
            <w:proofErr w:type="spellStart"/>
            <w:r>
              <w:rPr>
                <w:sz w:val="24"/>
                <w:szCs w:val="24"/>
                <w:lang w:val="uk-UA"/>
              </w:rPr>
              <w:t>запропонованихредакціях</w:t>
            </w:r>
            <w:proofErr w:type="spellEnd"/>
          </w:p>
        </w:tc>
        <w:tc>
          <w:tcPr>
            <w:tcW w:w="4498" w:type="dxa"/>
          </w:tcPr>
          <w:p w:rsidR="00E60292" w:rsidRPr="00824479" w:rsidRDefault="00E60292" w:rsidP="00EE45D5">
            <w:pPr>
              <w:pStyle w:val="HTML"/>
              <w:shd w:val="clear" w:color="auto" w:fill="FFFFFF"/>
              <w:textAlignment w:val="baseline"/>
              <w:rPr>
                <w:rFonts w:ascii="Calibri" w:hAnsi="Calibri"/>
                <w:sz w:val="24"/>
                <w:szCs w:val="24"/>
              </w:rPr>
            </w:pPr>
            <w:r w:rsidRPr="00824479">
              <w:rPr>
                <w:rFonts w:ascii="Calibri" w:hAnsi="Calibri"/>
                <w:b/>
                <w:sz w:val="24"/>
                <w:szCs w:val="24"/>
              </w:rPr>
              <w:t>Прогалина правового регулювання</w:t>
            </w:r>
            <w:r>
              <w:rPr>
                <w:rFonts w:ascii="Calibri" w:hAnsi="Calibri"/>
                <w:sz w:val="24"/>
                <w:szCs w:val="24"/>
              </w:rPr>
              <w:t xml:space="preserve"> закладена в формулюванні</w:t>
            </w:r>
            <w:r w:rsidRPr="00824479">
              <w:rPr>
                <w:rFonts w:ascii="Calibri" w:hAnsi="Calibri"/>
                <w:sz w:val="24"/>
                <w:szCs w:val="24"/>
              </w:rPr>
              <w:t xml:space="preserve"> «… вимагати заміни на такий же товар іншої марки (моделі, артикулу, модифікації) </w:t>
            </w:r>
            <w:r w:rsidRPr="00824479">
              <w:rPr>
                <w:rFonts w:ascii="Calibri" w:hAnsi="Calibri"/>
                <w:b/>
                <w:sz w:val="24"/>
                <w:szCs w:val="24"/>
              </w:rPr>
              <w:t>з перерахуванням купівельної ціни</w:t>
            </w:r>
            <w:r>
              <w:rPr>
                <w:rFonts w:ascii="Calibri" w:hAnsi="Calibri"/>
                <w:sz w:val="24"/>
                <w:szCs w:val="24"/>
              </w:rPr>
              <w:t>». Н</w:t>
            </w:r>
            <w:r w:rsidRPr="00824479">
              <w:rPr>
                <w:rFonts w:ascii="Calibri" w:hAnsi="Calibri"/>
                <w:sz w:val="24"/>
                <w:szCs w:val="24"/>
              </w:rPr>
              <w:t>і Цивільний кодекс, н</w:t>
            </w:r>
            <w:r>
              <w:rPr>
                <w:rFonts w:ascii="Calibri" w:hAnsi="Calibri"/>
                <w:sz w:val="24"/>
                <w:szCs w:val="24"/>
              </w:rPr>
              <w:t xml:space="preserve">і Закон </w:t>
            </w:r>
            <w:r w:rsidRPr="00824479">
              <w:rPr>
                <w:rFonts w:ascii="Calibri" w:hAnsi="Calibri"/>
                <w:sz w:val="24"/>
                <w:szCs w:val="24"/>
              </w:rPr>
              <w:t>«Про захист прав споживачів» не визначають поняття купівельної ціни. По-друге, зміст положення в цілому не надає чіткого уявлення про порядок та умови такої заміни.</w:t>
            </w:r>
          </w:p>
        </w:tc>
        <w:tc>
          <w:tcPr>
            <w:tcW w:w="2153" w:type="dxa"/>
          </w:tcPr>
          <w:p w:rsidR="00E60292" w:rsidRPr="002860D8" w:rsidRDefault="00E60292" w:rsidP="00EE45D5">
            <w:pPr>
              <w:spacing w:after="0" w:line="240" w:lineRule="auto"/>
              <w:rPr>
                <w:sz w:val="24"/>
                <w:szCs w:val="24"/>
                <w:lang w:val="uk-UA"/>
              </w:rPr>
            </w:pPr>
            <w:r>
              <w:rPr>
                <w:sz w:val="24"/>
                <w:szCs w:val="24"/>
                <w:lang w:val="uk-UA"/>
              </w:rPr>
              <w:t>Нечіткість правового регулювання.</w:t>
            </w:r>
          </w:p>
        </w:tc>
      </w:tr>
      <w:tr w:rsidR="00E60292" w:rsidRPr="00674E2B" w:rsidTr="00E60292">
        <w:trPr>
          <w:trHeight w:val="330"/>
        </w:trPr>
        <w:tc>
          <w:tcPr>
            <w:tcW w:w="2917" w:type="dxa"/>
          </w:tcPr>
          <w:p w:rsidR="00E60292" w:rsidRDefault="00E60292" w:rsidP="00EE45D5">
            <w:pPr>
              <w:spacing w:after="0" w:line="240" w:lineRule="auto"/>
              <w:rPr>
                <w:sz w:val="24"/>
                <w:szCs w:val="24"/>
                <w:lang w:val="uk-UA"/>
              </w:rPr>
            </w:pPr>
            <w:r>
              <w:rPr>
                <w:sz w:val="24"/>
                <w:szCs w:val="24"/>
                <w:lang w:val="uk-UA"/>
              </w:rPr>
              <w:t>Пункт 3 ч. 1 ст. 678 Цивільного кодексу, а також пункт 3 ч. 1 ст. 8 Закону «Про захист прав споживачів» в запропонованих редакціях</w:t>
            </w:r>
          </w:p>
        </w:tc>
        <w:tc>
          <w:tcPr>
            <w:tcW w:w="4498" w:type="dxa"/>
          </w:tcPr>
          <w:p w:rsidR="00E60292" w:rsidRDefault="00E60292" w:rsidP="00EE45D5">
            <w:pPr>
              <w:pStyle w:val="HTML"/>
              <w:shd w:val="clear" w:color="auto" w:fill="FFFFFF"/>
              <w:textAlignment w:val="baseline"/>
              <w:rPr>
                <w:rFonts w:ascii="Calibri" w:hAnsi="Calibri"/>
                <w:b/>
                <w:sz w:val="24"/>
                <w:szCs w:val="24"/>
              </w:rPr>
            </w:pPr>
            <w:r>
              <w:rPr>
                <w:rFonts w:ascii="Calibri" w:hAnsi="Calibri"/>
                <w:b/>
                <w:sz w:val="24"/>
                <w:szCs w:val="24"/>
              </w:rPr>
              <w:t xml:space="preserve">Прогалина правового </w:t>
            </w:r>
            <w:proofErr w:type="spellStart"/>
            <w:r>
              <w:rPr>
                <w:rFonts w:ascii="Calibri" w:hAnsi="Calibri"/>
                <w:b/>
                <w:sz w:val="24"/>
                <w:szCs w:val="24"/>
              </w:rPr>
              <w:t>ругулювання</w:t>
            </w:r>
            <w:proofErr w:type="spellEnd"/>
            <w:r>
              <w:rPr>
                <w:rFonts w:ascii="Calibri" w:hAnsi="Calibri"/>
                <w:b/>
                <w:sz w:val="24"/>
                <w:szCs w:val="24"/>
              </w:rPr>
              <w:t>.</w:t>
            </w:r>
          </w:p>
          <w:p w:rsidR="00E60292" w:rsidRPr="00704017" w:rsidRDefault="00E60292" w:rsidP="00EE45D5">
            <w:pPr>
              <w:pStyle w:val="HTML"/>
              <w:shd w:val="clear" w:color="auto" w:fill="FFFFFF"/>
              <w:textAlignment w:val="baseline"/>
              <w:rPr>
                <w:rFonts w:ascii="Calibri" w:hAnsi="Calibri"/>
                <w:sz w:val="24"/>
                <w:szCs w:val="24"/>
              </w:rPr>
            </w:pPr>
            <w:r w:rsidRPr="00704017">
              <w:rPr>
                <w:rFonts w:ascii="Calibri" w:hAnsi="Calibri"/>
                <w:sz w:val="24"/>
                <w:szCs w:val="24"/>
              </w:rPr>
              <w:t>Якщо</w:t>
            </w:r>
            <w:r>
              <w:rPr>
                <w:rFonts w:ascii="Calibri" w:hAnsi="Calibri"/>
                <w:sz w:val="24"/>
                <w:szCs w:val="24"/>
              </w:rPr>
              <w:t xml:space="preserve"> в чинних редакціях названих статей споживач має право вимагати </w:t>
            </w:r>
            <w:r w:rsidRPr="00704017">
              <w:rPr>
                <w:rFonts w:ascii="Calibri" w:hAnsi="Calibri"/>
                <w:sz w:val="24"/>
                <w:szCs w:val="24"/>
              </w:rPr>
              <w:t xml:space="preserve">безоплатного усунення недоліків товару </w:t>
            </w:r>
            <w:r>
              <w:rPr>
                <w:rFonts w:ascii="Calibri" w:hAnsi="Calibri"/>
                <w:sz w:val="24"/>
                <w:szCs w:val="24"/>
              </w:rPr>
              <w:t xml:space="preserve">неналежної якості </w:t>
            </w:r>
            <w:r w:rsidRPr="004B0168">
              <w:rPr>
                <w:rFonts w:ascii="Calibri" w:hAnsi="Calibri"/>
                <w:b/>
                <w:sz w:val="24"/>
                <w:szCs w:val="24"/>
              </w:rPr>
              <w:t>в розумний строк</w:t>
            </w:r>
            <w:r>
              <w:rPr>
                <w:rFonts w:ascii="Calibri" w:hAnsi="Calibri"/>
                <w:sz w:val="24"/>
                <w:szCs w:val="24"/>
              </w:rPr>
              <w:t>, то пропоновані зміни не містять жодної вказівки на строк такого усунення.</w:t>
            </w:r>
          </w:p>
        </w:tc>
        <w:tc>
          <w:tcPr>
            <w:tcW w:w="2153" w:type="dxa"/>
          </w:tcPr>
          <w:p w:rsidR="00E60292" w:rsidRPr="004B0168" w:rsidRDefault="00E60292" w:rsidP="00EE45D5">
            <w:pPr>
              <w:spacing w:after="0" w:line="240" w:lineRule="auto"/>
              <w:rPr>
                <w:sz w:val="24"/>
                <w:szCs w:val="24"/>
                <w:lang w:val="uk-UA"/>
              </w:rPr>
            </w:pPr>
            <w:r>
              <w:rPr>
                <w:sz w:val="24"/>
                <w:szCs w:val="24"/>
                <w:lang w:val="uk-UA"/>
              </w:rPr>
              <w:t xml:space="preserve">Відсутність навіть орієнтованого строку </w:t>
            </w:r>
            <w:r w:rsidRPr="004B0168">
              <w:rPr>
                <w:sz w:val="24"/>
                <w:szCs w:val="24"/>
                <w:lang w:val="uk-UA"/>
              </w:rPr>
              <w:t>безоплатного усунення недоліків товару</w:t>
            </w:r>
            <w:r>
              <w:rPr>
                <w:sz w:val="24"/>
                <w:szCs w:val="24"/>
                <w:lang w:val="uk-UA"/>
              </w:rPr>
              <w:t xml:space="preserve"> призводить до </w:t>
            </w:r>
            <w:proofErr w:type="spellStart"/>
            <w:r>
              <w:rPr>
                <w:sz w:val="24"/>
                <w:szCs w:val="24"/>
                <w:lang w:val="uk-UA"/>
              </w:rPr>
              <w:t>необгрунтованого</w:t>
            </w:r>
            <w:proofErr w:type="spellEnd"/>
            <w:r>
              <w:rPr>
                <w:sz w:val="24"/>
                <w:szCs w:val="24"/>
                <w:lang w:val="uk-UA"/>
              </w:rPr>
              <w:t xml:space="preserve"> затягування цього процесу з боку продавця (виробника, виконавця), що суперечить задекларованій цілі законопроекту.</w:t>
            </w:r>
          </w:p>
        </w:tc>
      </w:tr>
    </w:tbl>
    <w:p w:rsidR="00674E2B" w:rsidRPr="001E2478" w:rsidRDefault="00674E2B" w:rsidP="00674E2B">
      <w:pPr>
        <w:pStyle w:val="1"/>
        <w:numPr>
          <w:ilvl w:val="0"/>
          <w:numId w:val="2"/>
        </w:numPr>
        <w:spacing w:before="120" w:after="0" w:line="240" w:lineRule="auto"/>
        <w:contextualSpacing w:val="0"/>
        <w:rPr>
          <w:b/>
          <w:sz w:val="24"/>
          <w:szCs w:val="24"/>
          <w:lang w:val="uk-UA"/>
        </w:rPr>
      </w:pPr>
      <w:r w:rsidRPr="001E2478">
        <w:rPr>
          <w:b/>
          <w:sz w:val="24"/>
          <w:szCs w:val="24"/>
          <w:lang w:val="uk-UA"/>
        </w:rPr>
        <w:lastRenderedPageBreak/>
        <w:t xml:space="preserve">Суб’єкти корупційних відносин </w:t>
      </w:r>
    </w:p>
    <w:p w:rsidR="00E60292" w:rsidRDefault="00674E2B" w:rsidP="00E60292">
      <w:pPr>
        <w:spacing w:before="120" w:after="0" w:line="240" w:lineRule="auto"/>
        <w:ind w:right="-470"/>
        <w:jc w:val="both"/>
        <w:rPr>
          <w:sz w:val="24"/>
          <w:szCs w:val="24"/>
          <w:lang w:val="uk-UA"/>
        </w:rPr>
      </w:pPr>
      <w:r w:rsidRPr="001E2478">
        <w:rPr>
          <w:b/>
          <w:i/>
          <w:sz w:val="24"/>
          <w:szCs w:val="24"/>
          <w:lang w:val="uk-UA"/>
        </w:rPr>
        <w:t>Хто може отримувати корупційні вигоди:</w:t>
      </w:r>
      <w:r w:rsidRPr="001E2478">
        <w:rPr>
          <w:sz w:val="24"/>
          <w:szCs w:val="24"/>
          <w:lang w:val="uk-UA"/>
        </w:rPr>
        <w:t xml:space="preserve"> </w:t>
      </w:r>
      <w:r w:rsidR="00E60292">
        <w:rPr>
          <w:sz w:val="24"/>
          <w:szCs w:val="24"/>
          <w:lang w:val="uk-UA"/>
        </w:rPr>
        <w:t>Суб</w:t>
      </w:r>
      <w:r w:rsidR="00E60292" w:rsidRPr="004A367C">
        <w:rPr>
          <w:sz w:val="24"/>
          <w:szCs w:val="24"/>
          <w:lang w:val="uk-UA"/>
        </w:rPr>
        <w:t>’</w:t>
      </w:r>
      <w:r w:rsidR="00E60292">
        <w:rPr>
          <w:sz w:val="24"/>
          <w:szCs w:val="24"/>
          <w:lang w:val="uk-UA"/>
        </w:rPr>
        <w:t>єкти, уповноважені на здійснення захисту прав споживачів (ч. 3 ст. 5 Закону «Про захист прав споживачів»), у тому числі судді.</w:t>
      </w:r>
    </w:p>
    <w:p w:rsidR="00674E2B" w:rsidRPr="001E2478" w:rsidRDefault="00674E2B" w:rsidP="00674E2B">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Pr>
          <w:sz w:val="24"/>
          <w:szCs w:val="24"/>
          <w:lang w:val="uk-UA"/>
        </w:rPr>
        <w:t>важко оцінити</w:t>
      </w:r>
    </w:p>
    <w:p w:rsidR="00E60292" w:rsidRPr="000B4487" w:rsidRDefault="00674E2B" w:rsidP="00E60292">
      <w:pPr>
        <w:pStyle w:val="1"/>
        <w:spacing w:before="120" w:after="0" w:line="240" w:lineRule="auto"/>
        <w:ind w:left="0" w:right="-470"/>
        <w:jc w:val="both"/>
        <w:rPr>
          <w:sz w:val="24"/>
          <w:szCs w:val="24"/>
          <w:lang w:val="uk-UA"/>
        </w:rPr>
      </w:pPr>
      <w:r w:rsidRPr="001E2478">
        <w:rPr>
          <w:b/>
          <w:i/>
          <w:sz w:val="24"/>
          <w:szCs w:val="24"/>
          <w:lang w:val="uk-UA"/>
        </w:rPr>
        <w:t xml:space="preserve">Хто платитиме корупційні внески: </w:t>
      </w:r>
      <w:r w:rsidR="00E60292">
        <w:rPr>
          <w:sz w:val="24"/>
          <w:szCs w:val="24"/>
          <w:lang w:val="uk-UA"/>
        </w:rPr>
        <w:t>Особи, між якими виник спір</w:t>
      </w:r>
      <w:r w:rsidR="00E60292" w:rsidRPr="004003BD">
        <w:rPr>
          <w:sz w:val="24"/>
          <w:szCs w:val="24"/>
          <w:lang w:val="uk-UA"/>
        </w:rPr>
        <w:t xml:space="preserve"> з приводу неналежної якості товару</w:t>
      </w:r>
      <w:r w:rsidR="00E60292">
        <w:rPr>
          <w:sz w:val="24"/>
          <w:szCs w:val="24"/>
          <w:lang w:val="uk-UA"/>
        </w:rPr>
        <w:t xml:space="preserve"> – споживачі та продавці (виробники, виконавці).</w:t>
      </w:r>
    </w:p>
    <w:p w:rsidR="00674E2B" w:rsidRPr="001E2478" w:rsidRDefault="00674E2B" w:rsidP="00674E2B">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Pr>
          <w:sz w:val="24"/>
          <w:szCs w:val="24"/>
          <w:lang w:val="uk-UA"/>
        </w:rPr>
        <w:t>важко оцінити</w:t>
      </w:r>
    </w:p>
    <w:p w:rsidR="00674E2B" w:rsidRPr="001E2478" w:rsidRDefault="00674E2B" w:rsidP="00674E2B">
      <w:pPr>
        <w:pStyle w:val="1"/>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7C4F18" w:rsidRDefault="007C4F18" w:rsidP="007C4F18">
      <w:pPr>
        <w:pStyle w:val="1"/>
        <w:spacing w:before="120" w:after="0" w:line="240" w:lineRule="auto"/>
        <w:ind w:left="0" w:right="-470"/>
        <w:jc w:val="both"/>
        <w:rPr>
          <w:sz w:val="24"/>
          <w:szCs w:val="24"/>
          <w:lang w:val="uk-UA"/>
        </w:rPr>
      </w:pPr>
    </w:p>
    <w:p w:rsidR="007C4F18" w:rsidRPr="00653095" w:rsidRDefault="007C4F18" w:rsidP="007C4F18">
      <w:pPr>
        <w:pStyle w:val="1"/>
        <w:spacing w:before="120" w:after="0" w:line="240" w:lineRule="auto"/>
        <w:ind w:left="0" w:right="-470"/>
        <w:jc w:val="both"/>
        <w:rPr>
          <w:sz w:val="24"/>
          <w:szCs w:val="24"/>
          <w:lang w:val="uk-UA"/>
        </w:rPr>
      </w:pPr>
      <w:r w:rsidRPr="00653095">
        <w:rPr>
          <w:sz w:val="24"/>
          <w:szCs w:val="24"/>
          <w:lang w:val="uk-UA"/>
        </w:rPr>
        <w:t>У з</w:t>
      </w:r>
      <w:r>
        <w:rPr>
          <w:sz w:val="24"/>
          <w:szCs w:val="24"/>
          <w:lang w:val="uk-UA"/>
        </w:rPr>
        <w:t>аконопроекті виявлено корупційні ризики</w:t>
      </w:r>
      <w:r w:rsidRPr="00653095">
        <w:rPr>
          <w:sz w:val="24"/>
          <w:szCs w:val="24"/>
          <w:lang w:val="uk-UA"/>
        </w:rPr>
        <w:t>, пов’</w:t>
      </w:r>
      <w:r>
        <w:rPr>
          <w:sz w:val="24"/>
          <w:szCs w:val="24"/>
          <w:lang w:val="uk-UA"/>
        </w:rPr>
        <w:t>язані з прогалинами в правовому регулюванні</w:t>
      </w:r>
      <w:r w:rsidRPr="00653095">
        <w:rPr>
          <w:sz w:val="24"/>
          <w:szCs w:val="24"/>
          <w:lang w:val="uk-UA"/>
        </w:rPr>
        <w:t>.</w:t>
      </w:r>
    </w:p>
    <w:p w:rsidR="00674E2B" w:rsidRPr="004D28A9" w:rsidRDefault="00674E2B" w:rsidP="00674E2B">
      <w:pPr>
        <w:spacing w:before="120" w:after="0" w:line="240" w:lineRule="auto"/>
        <w:jc w:val="both"/>
        <w:rPr>
          <w:b/>
          <w:sz w:val="24"/>
          <w:szCs w:val="24"/>
          <w:lang w:val="uk-UA"/>
        </w:rPr>
      </w:pPr>
      <w:r w:rsidRPr="001E2478">
        <w:rPr>
          <w:b/>
          <w:sz w:val="24"/>
          <w:szCs w:val="24"/>
          <w:lang w:val="uk-UA"/>
        </w:rPr>
        <w:t>З урахуванням цього висновку</w:t>
      </w:r>
      <w:r w:rsidRPr="00561153">
        <w:rPr>
          <w:b/>
          <w:sz w:val="24"/>
          <w:szCs w:val="24"/>
          <w:lang w:val="uk-UA"/>
        </w:rPr>
        <w:t>, Громадська експертна рада рекомендує доопрацювати законопроект за результатами розгляду в першому читанні.</w:t>
      </w:r>
    </w:p>
    <w:p w:rsidR="00674E2B" w:rsidRPr="00A321FA" w:rsidRDefault="00674E2B" w:rsidP="00674E2B">
      <w:pPr>
        <w:spacing w:before="120" w:after="0" w:line="240" w:lineRule="auto"/>
        <w:rPr>
          <w:sz w:val="24"/>
          <w:szCs w:val="24"/>
        </w:rPr>
      </w:pPr>
    </w:p>
    <w:p w:rsidR="00674E2B" w:rsidRDefault="00674E2B" w:rsidP="00674E2B">
      <w:pPr>
        <w:spacing w:before="120" w:after="0" w:line="240" w:lineRule="auto"/>
        <w:rPr>
          <w:sz w:val="24"/>
          <w:szCs w:val="24"/>
          <w:lang w:val="uk-UA"/>
        </w:rPr>
      </w:pPr>
    </w:p>
    <w:sectPr w:rsidR="00674E2B" w:rsidSect="004C0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4E2B"/>
    <w:rsid w:val="00095B76"/>
    <w:rsid w:val="003C0C2B"/>
    <w:rsid w:val="004D25F8"/>
    <w:rsid w:val="00674E2B"/>
    <w:rsid w:val="00687139"/>
    <w:rsid w:val="006E17EC"/>
    <w:rsid w:val="006F054B"/>
    <w:rsid w:val="007A6856"/>
    <w:rsid w:val="007C4F18"/>
    <w:rsid w:val="007F3441"/>
    <w:rsid w:val="00931A67"/>
    <w:rsid w:val="009B1377"/>
    <w:rsid w:val="00D0114B"/>
    <w:rsid w:val="00D70C0A"/>
    <w:rsid w:val="00E60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E2B"/>
    <w:rPr>
      <w:rFonts w:ascii="Calibri" w:eastAsia="Times New Roman" w:hAnsi="Calibri" w:cs="Times New Roman"/>
    </w:rPr>
  </w:style>
  <w:style w:type="paragraph" w:styleId="2">
    <w:name w:val="heading 2"/>
    <w:basedOn w:val="a"/>
    <w:next w:val="a"/>
    <w:link w:val="20"/>
    <w:uiPriority w:val="9"/>
    <w:unhideWhenUsed/>
    <w:qFormat/>
    <w:rsid w:val="00674E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4E2B"/>
    <w:rPr>
      <w:rFonts w:asciiTheme="majorHAnsi" w:eastAsiaTheme="majorEastAsia" w:hAnsiTheme="majorHAnsi" w:cstheme="majorBidi"/>
      <w:b/>
      <w:bCs/>
      <w:color w:val="4F81BD" w:themeColor="accent1"/>
      <w:sz w:val="26"/>
      <w:szCs w:val="26"/>
    </w:rPr>
  </w:style>
  <w:style w:type="character" w:styleId="a3">
    <w:name w:val="Hyperlink"/>
    <w:basedOn w:val="a0"/>
    <w:semiHidden/>
    <w:rsid w:val="00674E2B"/>
    <w:rPr>
      <w:rFonts w:cs="Times New Roman"/>
      <w:color w:val="0000FF"/>
      <w:u w:val="single"/>
    </w:rPr>
  </w:style>
  <w:style w:type="paragraph" w:customStyle="1" w:styleId="1">
    <w:name w:val="Абзац списка1"/>
    <w:basedOn w:val="a"/>
    <w:uiPriority w:val="99"/>
    <w:rsid w:val="00674E2B"/>
    <w:pPr>
      <w:ind w:left="720"/>
      <w:contextualSpacing/>
    </w:pPr>
  </w:style>
  <w:style w:type="paragraph" w:customStyle="1" w:styleId="Igor1">
    <w:name w:val="Igor1"/>
    <w:basedOn w:val="a"/>
    <w:rsid w:val="00674E2B"/>
    <w:pPr>
      <w:spacing w:before="120" w:after="120" w:line="240" w:lineRule="auto"/>
      <w:ind w:firstLine="709"/>
      <w:jc w:val="both"/>
    </w:pPr>
    <w:rPr>
      <w:rFonts w:ascii="Times New Roman" w:hAnsi="Times New Roman"/>
      <w:sz w:val="28"/>
      <w:szCs w:val="24"/>
      <w:lang w:val="uk-UA" w:eastAsia="ru-RU"/>
    </w:rPr>
  </w:style>
  <w:style w:type="paragraph" w:styleId="a4">
    <w:name w:val="header"/>
    <w:basedOn w:val="a"/>
    <w:link w:val="a5"/>
    <w:rsid w:val="00674E2B"/>
    <w:pPr>
      <w:tabs>
        <w:tab w:val="center" w:pos="4677"/>
        <w:tab w:val="right" w:pos="9355"/>
      </w:tabs>
      <w:spacing w:after="0" w:line="240" w:lineRule="auto"/>
    </w:pPr>
    <w:rPr>
      <w:rFonts w:ascii="Arial" w:hAnsi="Arial" w:cs="Arial"/>
      <w:color w:val="000000"/>
      <w:spacing w:val="1"/>
      <w:w w:val="93"/>
      <w:sz w:val="28"/>
      <w:szCs w:val="24"/>
      <w:lang w:val="uk-UA" w:eastAsia="ru-RU"/>
    </w:rPr>
  </w:style>
  <w:style w:type="character" w:customStyle="1" w:styleId="a5">
    <w:name w:val="Верхний колонтитул Знак"/>
    <w:basedOn w:val="a0"/>
    <w:link w:val="a4"/>
    <w:rsid w:val="00674E2B"/>
    <w:rPr>
      <w:rFonts w:ascii="Arial" w:eastAsia="Times New Roman" w:hAnsi="Arial" w:cs="Arial"/>
      <w:color w:val="000000"/>
      <w:spacing w:val="1"/>
      <w:w w:val="93"/>
      <w:sz w:val="28"/>
      <w:szCs w:val="24"/>
      <w:lang w:val="uk-UA" w:eastAsia="ru-RU"/>
    </w:rPr>
  </w:style>
  <w:style w:type="paragraph" w:styleId="HTML">
    <w:name w:val="HTML Preformatted"/>
    <w:basedOn w:val="a"/>
    <w:link w:val="HTML0"/>
    <w:uiPriority w:val="99"/>
    <w:rsid w:val="00E6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uiPriority w:val="99"/>
    <w:rsid w:val="00E60292"/>
    <w:rPr>
      <w:rFonts w:ascii="Courier New" w:eastAsia="Calibri" w:hAnsi="Courier New" w:cs="Courier New"/>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92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9</cp:revision>
  <dcterms:created xsi:type="dcterms:W3CDTF">2013-12-27T10:50:00Z</dcterms:created>
  <dcterms:modified xsi:type="dcterms:W3CDTF">2014-01-08T19:06:00Z</dcterms:modified>
</cp:coreProperties>
</file>