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3A9" w:rsidRDefault="008603A9" w:rsidP="008603A9">
      <w:pPr>
        <w:jc w:val="center"/>
        <w:rPr>
          <w:b/>
          <w:sz w:val="26"/>
          <w:szCs w:val="26"/>
          <w:lang w:val="uk-UA"/>
        </w:rPr>
      </w:pPr>
      <w:r>
        <w:rPr>
          <w:b/>
          <w:sz w:val="26"/>
          <w:szCs w:val="26"/>
          <w:lang w:val="uk-UA"/>
        </w:rPr>
        <w:t>Комітет Верховної Ради України з питань боротьби із організованою злочинністю та корупцією</w:t>
      </w:r>
    </w:p>
    <w:p w:rsidR="008603A9" w:rsidRDefault="008603A9" w:rsidP="008603A9">
      <w:pPr>
        <w:jc w:val="center"/>
        <w:rPr>
          <w:b/>
          <w:sz w:val="28"/>
          <w:szCs w:val="28"/>
          <w:lang w:val="uk-UA"/>
        </w:rPr>
      </w:pPr>
      <w:r w:rsidRPr="00265D18">
        <w:rPr>
          <w:b/>
          <w:sz w:val="28"/>
          <w:szCs w:val="28"/>
          <w:lang w:val="uk-UA"/>
        </w:rPr>
        <w:t>Громадська експертна рада</w:t>
      </w:r>
    </w:p>
    <w:p w:rsidR="008603A9" w:rsidRPr="00E55B93" w:rsidRDefault="008603A9" w:rsidP="008603A9">
      <w:pPr>
        <w:jc w:val="center"/>
        <w:rPr>
          <w:b/>
          <w:sz w:val="26"/>
          <w:szCs w:val="26"/>
          <w:lang w:val="uk-UA"/>
        </w:rPr>
      </w:pPr>
      <w:r>
        <w:rPr>
          <w:b/>
          <w:sz w:val="26"/>
          <w:szCs w:val="26"/>
          <w:lang w:val="uk-UA"/>
        </w:rPr>
        <w:t>Р</w:t>
      </w:r>
      <w:r w:rsidRPr="00E55B93">
        <w:rPr>
          <w:b/>
          <w:sz w:val="26"/>
          <w:szCs w:val="26"/>
          <w:lang w:val="uk-UA"/>
        </w:rPr>
        <w:t xml:space="preserve">езультати громадської антикорупційної експертизи </w:t>
      </w:r>
      <w:r>
        <w:rPr>
          <w:b/>
          <w:sz w:val="26"/>
          <w:szCs w:val="26"/>
          <w:lang w:val="uk-UA"/>
        </w:rPr>
        <w:t>законопроектів</w:t>
      </w:r>
    </w:p>
    <w:p w:rsidR="008603A9" w:rsidRDefault="008603A9" w:rsidP="008603A9">
      <w:pPr>
        <w:spacing w:after="0" w:line="240" w:lineRule="auto"/>
        <w:rPr>
          <w:sz w:val="24"/>
          <w:szCs w:val="24"/>
          <w:lang w:val="uk-UA"/>
        </w:rPr>
      </w:pPr>
    </w:p>
    <w:tbl>
      <w:tblPr>
        <w:tblW w:w="0" w:type="auto"/>
        <w:tblLook w:val="00A0"/>
      </w:tblPr>
      <w:tblGrid>
        <w:gridCol w:w="3085"/>
        <w:gridCol w:w="6486"/>
      </w:tblGrid>
      <w:tr w:rsidR="007C1854" w:rsidRPr="003902D8" w:rsidTr="002956A5">
        <w:tc>
          <w:tcPr>
            <w:tcW w:w="3085" w:type="dxa"/>
            <w:tcBorders>
              <w:bottom w:val="single" w:sz="4" w:space="0" w:color="auto"/>
            </w:tcBorders>
          </w:tcPr>
          <w:p w:rsidR="007C1854" w:rsidRPr="00B9319E" w:rsidRDefault="007C1854" w:rsidP="002956A5">
            <w:pPr>
              <w:spacing w:after="0" w:line="240" w:lineRule="auto"/>
              <w:rPr>
                <w:b/>
                <w:sz w:val="24"/>
                <w:szCs w:val="24"/>
                <w:lang w:val="uk-UA"/>
              </w:rPr>
            </w:pPr>
            <w:r w:rsidRPr="00B9319E">
              <w:rPr>
                <w:b/>
                <w:sz w:val="24"/>
                <w:szCs w:val="24"/>
                <w:lang w:val="uk-UA"/>
              </w:rPr>
              <w:t>Назва законопроекту</w:t>
            </w:r>
          </w:p>
        </w:tc>
        <w:tc>
          <w:tcPr>
            <w:tcW w:w="6486" w:type="dxa"/>
            <w:tcBorders>
              <w:bottom w:val="single" w:sz="4" w:space="0" w:color="auto"/>
            </w:tcBorders>
          </w:tcPr>
          <w:p w:rsidR="007C1854" w:rsidRPr="00561153" w:rsidRDefault="007C1854" w:rsidP="002956A5">
            <w:pPr>
              <w:spacing w:after="0" w:line="240" w:lineRule="auto"/>
              <w:rPr>
                <w:rFonts w:cs="Arial"/>
                <w:sz w:val="24"/>
                <w:szCs w:val="24"/>
                <w:lang w:val="uk-UA"/>
              </w:rPr>
            </w:pPr>
            <w:r>
              <w:rPr>
                <w:rFonts w:cs="Arial"/>
                <w:sz w:val="24"/>
                <w:szCs w:val="24"/>
                <w:lang w:val="uk-UA"/>
              </w:rPr>
              <w:t>Про внесення змін д</w:t>
            </w:r>
            <w:r w:rsidRPr="00EE66AA">
              <w:rPr>
                <w:rFonts w:cs="Arial"/>
                <w:sz w:val="24"/>
                <w:szCs w:val="24"/>
                <w:lang w:val="uk-UA"/>
              </w:rPr>
              <w:t>о деяких законів України щодо використання земель сільськогосподарського призначення державної власності</w:t>
            </w:r>
          </w:p>
        </w:tc>
      </w:tr>
      <w:tr w:rsidR="007C1854" w:rsidRPr="00B9319E" w:rsidTr="002956A5">
        <w:tc>
          <w:tcPr>
            <w:tcW w:w="3085" w:type="dxa"/>
            <w:tcBorders>
              <w:top w:val="single" w:sz="4" w:space="0" w:color="auto"/>
              <w:bottom w:val="single" w:sz="4" w:space="0" w:color="auto"/>
            </w:tcBorders>
          </w:tcPr>
          <w:p w:rsidR="007C1854" w:rsidRPr="00B9319E" w:rsidRDefault="007C1854" w:rsidP="002956A5">
            <w:pPr>
              <w:tabs>
                <w:tab w:val="left" w:pos="2085"/>
              </w:tabs>
              <w:spacing w:after="0" w:line="240" w:lineRule="auto"/>
              <w:rPr>
                <w:b/>
                <w:sz w:val="24"/>
                <w:szCs w:val="24"/>
                <w:lang w:val="uk-UA"/>
              </w:rPr>
            </w:pPr>
            <w:r w:rsidRPr="00B9319E">
              <w:rPr>
                <w:b/>
                <w:sz w:val="24"/>
                <w:szCs w:val="24"/>
                <w:lang w:val="uk-UA"/>
              </w:rPr>
              <w:t>Номер законопроекту</w:t>
            </w:r>
          </w:p>
        </w:tc>
        <w:tc>
          <w:tcPr>
            <w:tcW w:w="6486" w:type="dxa"/>
            <w:tcBorders>
              <w:top w:val="single" w:sz="4" w:space="0" w:color="auto"/>
              <w:bottom w:val="single" w:sz="4" w:space="0" w:color="auto"/>
            </w:tcBorders>
          </w:tcPr>
          <w:p w:rsidR="007C1854" w:rsidRPr="00561153" w:rsidRDefault="007C1854" w:rsidP="002956A5">
            <w:pPr>
              <w:spacing w:after="0" w:line="240" w:lineRule="auto"/>
              <w:rPr>
                <w:sz w:val="24"/>
                <w:szCs w:val="24"/>
                <w:lang w:val="uk-UA"/>
              </w:rPr>
            </w:pPr>
            <w:r w:rsidRPr="00561153">
              <w:rPr>
                <w:sz w:val="24"/>
                <w:szCs w:val="24"/>
                <w:lang w:val="uk-UA"/>
              </w:rPr>
              <w:t>3</w:t>
            </w:r>
            <w:r>
              <w:rPr>
                <w:sz w:val="24"/>
                <w:szCs w:val="24"/>
                <w:lang w:val="uk-UA"/>
              </w:rPr>
              <w:t>523</w:t>
            </w:r>
          </w:p>
        </w:tc>
      </w:tr>
      <w:tr w:rsidR="007C1854" w:rsidRPr="00B9319E" w:rsidTr="002956A5">
        <w:tc>
          <w:tcPr>
            <w:tcW w:w="3085" w:type="dxa"/>
            <w:tcBorders>
              <w:top w:val="single" w:sz="4" w:space="0" w:color="auto"/>
              <w:bottom w:val="single" w:sz="4" w:space="0" w:color="auto"/>
            </w:tcBorders>
          </w:tcPr>
          <w:p w:rsidR="007C1854" w:rsidRPr="00B9319E" w:rsidRDefault="007C1854" w:rsidP="002956A5">
            <w:pPr>
              <w:spacing w:after="0" w:line="240" w:lineRule="auto"/>
              <w:rPr>
                <w:b/>
                <w:sz w:val="24"/>
                <w:szCs w:val="24"/>
                <w:lang w:val="uk-UA"/>
              </w:rPr>
            </w:pPr>
            <w:r w:rsidRPr="00B9319E">
              <w:rPr>
                <w:b/>
                <w:sz w:val="24"/>
                <w:szCs w:val="24"/>
                <w:lang w:val="uk-UA"/>
              </w:rPr>
              <w:t>Дата реєстрації</w:t>
            </w:r>
          </w:p>
        </w:tc>
        <w:tc>
          <w:tcPr>
            <w:tcW w:w="6486" w:type="dxa"/>
            <w:tcBorders>
              <w:top w:val="single" w:sz="4" w:space="0" w:color="auto"/>
              <w:bottom w:val="single" w:sz="4" w:space="0" w:color="auto"/>
            </w:tcBorders>
          </w:tcPr>
          <w:p w:rsidR="007C1854" w:rsidRPr="00561153" w:rsidRDefault="007C1854" w:rsidP="002956A5">
            <w:pPr>
              <w:spacing w:after="0" w:line="240" w:lineRule="auto"/>
              <w:rPr>
                <w:sz w:val="24"/>
                <w:szCs w:val="24"/>
                <w:lang w:val="uk-UA"/>
              </w:rPr>
            </w:pPr>
            <w:r>
              <w:rPr>
                <w:rFonts w:cs="Arial"/>
                <w:sz w:val="24"/>
                <w:szCs w:val="24"/>
                <w:lang w:val="uk-UA"/>
              </w:rPr>
              <w:t>31.10</w:t>
            </w:r>
            <w:r w:rsidRPr="00561153">
              <w:rPr>
                <w:rFonts w:cs="Arial"/>
                <w:sz w:val="24"/>
                <w:szCs w:val="24"/>
                <w:lang w:val="uk-UA"/>
              </w:rPr>
              <w:t>.2013</w:t>
            </w:r>
          </w:p>
        </w:tc>
      </w:tr>
      <w:tr w:rsidR="007C1854" w:rsidRPr="00B9319E" w:rsidTr="002956A5">
        <w:tc>
          <w:tcPr>
            <w:tcW w:w="3085" w:type="dxa"/>
            <w:tcBorders>
              <w:top w:val="single" w:sz="4" w:space="0" w:color="auto"/>
              <w:bottom w:val="single" w:sz="4" w:space="0" w:color="auto"/>
            </w:tcBorders>
          </w:tcPr>
          <w:p w:rsidR="007C1854" w:rsidRPr="00B9319E" w:rsidRDefault="007C1854" w:rsidP="002956A5">
            <w:pPr>
              <w:spacing w:after="0" w:line="240" w:lineRule="auto"/>
              <w:rPr>
                <w:b/>
                <w:sz w:val="24"/>
                <w:szCs w:val="24"/>
                <w:lang w:val="uk-UA"/>
              </w:rPr>
            </w:pPr>
            <w:r w:rsidRPr="00B9319E">
              <w:rPr>
                <w:b/>
                <w:sz w:val="24"/>
                <w:szCs w:val="24"/>
                <w:lang w:val="uk-UA"/>
              </w:rPr>
              <w:t>Автор законопроекту</w:t>
            </w:r>
          </w:p>
        </w:tc>
        <w:tc>
          <w:tcPr>
            <w:tcW w:w="6486" w:type="dxa"/>
            <w:tcBorders>
              <w:top w:val="single" w:sz="4" w:space="0" w:color="auto"/>
              <w:bottom w:val="single" w:sz="4" w:space="0" w:color="auto"/>
            </w:tcBorders>
          </w:tcPr>
          <w:p w:rsidR="007C1854" w:rsidRPr="007C1854" w:rsidRDefault="007C1854" w:rsidP="002956A5">
            <w:pPr>
              <w:spacing w:after="0" w:line="240" w:lineRule="auto"/>
              <w:rPr>
                <w:sz w:val="24"/>
                <w:szCs w:val="24"/>
                <w:lang w:val="uk-UA"/>
              </w:rPr>
            </w:pPr>
            <w:r>
              <w:rPr>
                <w:sz w:val="24"/>
                <w:szCs w:val="24"/>
                <w:lang w:val="uk-UA"/>
              </w:rPr>
              <w:t>Лук</w:t>
            </w:r>
            <w:r w:rsidRPr="00EE66AA">
              <w:rPr>
                <w:sz w:val="24"/>
                <w:szCs w:val="24"/>
              </w:rPr>
              <w:t>’</w:t>
            </w:r>
            <w:proofErr w:type="spellStart"/>
            <w:r>
              <w:rPr>
                <w:sz w:val="24"/>
                <w:szCs w:val="24"/>
                <w:lang w:val="uk-UA"/>
              </w:rPr>
              <w:t>янов</w:t>
            </w:r>
            <w:proofErr w:type="spellEnd"/>
            <w:r>
              <w:rPr>
                <w:sz w:val="24"/>
                <w:szCs w:val="24"/>
                <w:lang w:val="uk-UA"/>
              </w:rPr>
              <w:t xml:space="preserve"> В.В., народний депутат </w:t>
            </w:r>
            <w:r>
              <w:rPr>
                <w:sz w:val="24"/>
                <w:szCs w:val="24"/>
                <w:lang w:val="en-US"/>
              </w:rPr>
              <w:t>VII</w:t>
            </w:r>
            <w:r w:rsidRPr="007B1824">
              <w:rPr>
                <w:sz w:val="24"/>
                <w:szCs w:val="24"/>
              </w:rPr>
              <w:t xml:space="preserve"> </w:t>
            </w:r>
            <w:r>
              <w:rPr>
                <w:sz w:val="24"/>
                <w:szCs w:val="24"/>
                <w:lang w:val="uk-UA"/>
              </w:rPr>
              <w:t>скликання, фракція Партії регіонів</w:t>
            </w:r>
          </w:p>
        </w:tc>
      </w:tr>
      <w:tr w:rsidR="007C1854" w:rsidRPr="00B9319E" w:rsidTr="002956A5">
        <w:trPr>
          <w:trHeight w:val="463"/>
        </w:trPr>
        <w:tc>
          <w:tcPr>
            <w:tcW w:w="3085" w:type="dxa"/>
            <w:tcBorders>
              <w:top w:val="single" w:sz="4" w:space="0" w:color="auto"/>
              <w:bottom w:val="single" w:sz="4" w:space="0" w:color="auto"/>
            </w:tcBorders>
          </w:tcPr>
          <w:p w:rsidR="007C1854" w:rsidRPr="00B9319E" w:rsidRDefault="007C1854" w:rsidP="002956A5">
            <w:pPr>
              <w:spacing w:after="0" w:line="240" w:lineRule="auto"/>
              <w:rPr>
                <w:b/>
                <w:sz w:val="24"/>
                <w:szCs w:val="24"/>
                <w:lang w:val="uk-UA"/>
              </w:rPr>
            </w:pPr>
            <w:r w:rsidRPr="00B9319E">
              <w:rPr>
                <w:b/>
                <w:sz w:val="24"/>
                <w:szCs w:val="24"/>
                <w:lang w:val="uk-UA"/>
              </w:rPr>
              <w:t>Головний комітет ВРУ</w:t>
            </w:r>
          </w:p>
        </w:tc>
        <w:tc>
          <w:tcPr>
            <w:tcW w:w="6486" w:type="dxa"/>
            <w:tcBorders>
              <w:top w:val="single" w:sz="4" w:space="0" w:color="auto"/>
              <w:bottom w:val="single" w:sz="4" w:space="0" w:color="auto"/>
            </w:tcBorders>
          </w:tcPr>
          <w:p w:rsidR="007C1854" w:rsidRPr="005335BE" w:rsidRDefault="007C1854" w:rsidP="002956A5">
            <w:pPr>
              <w:spacing w:after="0" w:line="240" w:lineRule="auto"/>
              <w:rPr>
                <w:rFonts w:asciiTheme="minorHAnsi" w:hAnsiTheme="minorHAnsi"/>
                <w:sz w:val="24"/>
                <w:szCs w:val="24"/>
                <w:lang w:val="uk-UA"/>
              </w:rPr>
            </w:pPr>
            <w:r w:rsidRPr="00EE66AA">
              <w:rPr>
                <w:sz w:val="24"/>
                <w:szCs w:val="24"/>
                <w:lang w:val="uk-UA"/>
              </w:rPr>
              <w:t>Комітет з питань аграрної політики та земельних відносин</w:t>
            </w:r>
          </w:p>
        </w:tc>
      </w:tr>
      <w:tr w:rsidR="007C1854" w:rsidRPr="00B9319E" w:rsidTr="002956A5">
        <w:tc>
          <w:tcPr>
            <w:tcW w:w="3085" w:type="dxa"/>
            <w:tcBorders>
              <w:top w:val="single" w:sz="4" w:space="0" w:color="auto"/>
              <w:bottom w:val="single" w:sz="4" w:space="0" w:color="auto"/>
            </w:tcBorders>
          </w:tcPr>
          <w:p w:rsidR="007C1854" w:rsidRPr="00B9319E" w:rsidRDefault="007C1854" w:rsidP="002956A5">
            <w:pPr>
              <w:spacing w:after="0" w:line="240" w:lineRule="auto"/>
              <w:rPr>
                <w:b/>
                <w:sz w:val="24"/>
                <w:szCs w:val="24"/>
                <w:lang w:val="uk-UA"/>
              </w:rPr>
            </w:pPr>
            <w:r w:rsidRPr="00B9319E">
              <w:rPr>
                <w:b/>
                <w:sz w:val="24"/>
                <w:szCs w:val="24"/>
                <w:lang w:val="uk-UA"/>
              </w:rPr>
              <w:t>Етап проходження</w:t>
            </w:r>
          </w:p>
        </w:tc>
        <w:tc>
          <w:tcPr>
            <w:tcW w:w="6486" w:type="dxa"/>
            <w:tcBorders>
              <w:top w:val="single" w:sz="4" w:space="0" w:color="auto"/>
              <w:bottom w:val="single" w:sz="4" w:space="0" w:color="auto"/>
            </w:tcBorders>
          </w:tcPr>
          <w:p w:rsidR="007C1854" w:rsidRPr="001A19DD" w:rsidRDefault="007C1854" w:rsidP="002956A5">
            <w:pPr>
              <w:spacing w:after="0" w:line="240" w:lineRule="auto"/>
              <w:rPr>
                <w:rFonts w:asciiTheme="minorHAnsi" w:hAnsiTheme="minorHAnsi"/>
                <w:sz w:val="24"/>
                <w:szCs w:val="24"/>
                <w:lang w:val="uk-UA"/>
              </w:rPr>
            </w:pPr>
            <w:r w:rsidRPr="00561153">
              <w:rPr>
                <w:sz w:val="24"/>
                <w:szCs w:val="24"/>
                <w:lang w:val="uk-UA"/>
              </w:rPr>
              <w:t xml:space="preserve">Надано для </w:t>
            </w:r>
            <w:r>
              <w:rPr>
                <w:sz w:val="24"/>
                <w:szCs w:val="24"/>
                <w:lang w:val="uk-UA"/>
              </w:rPr>
              <w:t>ознайомлення членам Комітету (04.11</w:t>
            </w:r>
            <w:r w:rsidRPr="00561153">
              <w:rPr>
                <w:sz w:val="24"/>
                <w:szCs w:val="24"/>
                <w:lang w:val="uk-UA"/>
              </w:rPr>
              <w:t>.2013)</w:t>
            </w:r>
          </w:p>
        </w:tc>
      </w:tr>
      <w:tr w:rsidR="007C1854" w:rsidRPr="00B9319E" w:rsidTr="002956A5">
        <w:tc>
          <w:tcPr>
            <w:tcW w:w="3085" w:type="dxa"/>
            <w:tcBorders>
              <w:top w:val="single" w:sz="4" w:space="0" w:color="auto"/>
              <w:bottom w:val="single" w:sz="4" w:space="0" w:color="auto"/>
            </w:tcBorders>
          </w:tcPr>
          <w:p w:rsidR="007C1854" w:rsidRPr="00B9319E" w:rsidRDefault="007C1854" w:rsidP="002956A5">
            <w:pPr>
              <w:spacing w:after="0" w:line="240" w:lineRule="auto"/>
              <w:rPr>
                <w:b/>
                <w:sz w:val="24"/>
                <w:szCs w:val="24"/>
                <w:lang w:val="uk-UA"/>
              </w:rPr>
            </w:pPr>
            <w:r w:rsidRPr="00B9319E">
              <w:rPr>
                <w:b/>
                <w:sz w:val="24"/>
                <w:szCs w:val="24"/>
                <w:lang w:val="uk-UA"/>
              </w:rPr>
              <w:t>Висновок Головного науково-експертного управління ВРУ</w:t>
            </w:r>
          </w:p>
        </w:tc>
        <w:tc>
          <w:tcPr>
            <w:tcW w:w="6486" w:type="dxa"/>
            <w:tcBorders>
              <w:top w:val="single" w:sz="4" w:space="0" w:color="auto"/>
              <w:bottom w:val="single" w:sz="4" w:space="0" w:color="auto"/>
            </w:tcBorders>
          </w:tcPr>
          <w:p w:rsidR="007C1854" w:rsidRPr="001A19DD" w:rsidRDefault="007C1854" w:rsidP="002956A5">
            <w:pPr>
              <w:spacing w:after="0" w:line="240" w:lineRule="auto"/>
              <w:rPr>
                <w:rFonts w:asciiTheme="minorHAnsi" w:hAnsiTheme="minorHAnsi"/>
                <w:sz w:val="24"/>
                <w:szCs w:val="24"/>
                <w:lang w:val="uk-UA"/>
              </w:rPr>
            </w:pPr>
            <w:r w:rsidRPr="00EE66AA">
              <w:rPr>
                <w:sz w:val="24"/>
                <w:szCs w:val="24"/>
                <w:lang w:val="uk-UA"/>
              </w:rPr>
              <w:t>Відхилити за результатами розгляду в першому читанні</w:t>
            </w:r>
            <w:r>
              <w:rPr>
                <w:sz w:val="24"/>
                <w:szCs w:val="24"/>
                <w:lang w:val="uk-UA"/>
              </w:rPr>
              <w:t xml:space="preserve"> (висновок від 19.11.2013)</w:t>
            </w:r>
          </w:p>
        </w:tc>
      </w:tr>
      <w:tr w:rsidR="007C1854" w:rsidRPr="00B9319E" w:rsidTr="002956A5">
        <w:tc>
          <w:tcPr>
            <w:tcW w:w="3085" w:type="dxa"/>
            <w:tcBorders>
              <w:top w:val="single" w:sz="4" w:space="0" w:color="auto"/>
              <w:bottom w:val="single" w:sz="4" w:space="0" w:color="auto"/>
            </w:tcBorders>
          </w:tcPr>
          <w:p w:rsidR="007C1854" w:rsidRPr="00B9319E" w:rsidRDefault="007C1854" w:rsidP="002956A5">
            <w:pPr>
              <w:spacing w:after="0" w:line="240" w:lineRule="auto"/>
              <w:rPr>
                <w:b/>
                <w:sz w:val="24"/>
                <w:szCs w:val="24"/>
                <w:lang w:val="uk-UA"/>
              </w:rPr>
            </w:pPr>
            <w:r w:rsidRPr="00B9319E">
              <w:rPr>
                <w:b/>
                <w:sz w:val="24"/>
                <w:szCs w:val="24"/>
                <w:lang w:val="uk-UA"/>
              </w:rPr>
              <w:t>Висновок профільного Комітету ВРУ</w:t>
            </w:r>
          </w:p>
        </w:tc>
        <w:tc>
          <w:tcPr>
            <w:tcW w:w="6486" w:type="dxa"/>
            <w:tcBorders>
              <w:top w:val="single" w:sz="4" w:space="0" w:color="auto"/>
              <w:bottom w:val="single" w:sz="4" w:space="0" w:color="auto"/>
            </w:tcBorders>
          </w:tcPr>
          <w:p w:rsidR="007C1854" w:rsidRPr="001A19DD" w:rsidRDefault="007C1854" w:rsidP="002956A5">
            <w:pPr>
              <w:jc w:val="both"/>
              <w:rPr>
                <w:rFonts w:asciiTheme="minorHAnsi" w:hAnsiTheme="minorHAnsi"/>
                <w:sz w:val="24"/>
                <w:szCs w:val="24"/>
                <w:lang w:val="uk-UA"/>
              </w:rPr>
            </w:pPr>
            <w:r>
              <w:rPr>
                <w:rFonts w:asciiTheme="minorHAnsi" w:hAnsiTheme="minorHAnsi"/>
                <w:sz w:val="24"/>
                <w:szCs w:val="24"/>
                <w:lang w:val="uk-UA"/>
              </w:rPr>
              <w:t xml:space="preserve">Відсутній на момент проведення експертизи </w:t>
            </w:r>
          </w:p>
        </w:tc>
      </w:tr>
      <w:tr w:rsidR="007C1854" w:rsidRPr="006C48F9" w:rsidTr="002956A5">
        <w:tc>
          <w:tcPr>
            <w:tcW w:w="3085" w:type="dxa"/>
            <w:tcBorders>
              <w:top w:val="single" w:sz="4" w:space="0" w:color="auto"/>
            </w:tcBorders>
          </w:tcPr>
          <w:p w:rsidR="007C1854" w:rsidRPr="00B9319E" w:rsidRDefault="007C1854" w:rsidP="002956A5">
            <w:pPr>
              <w:spacing w:after="0" w:line="240" w:lineRule="auto"/>
              <w:rPr>
                <w:b/>
                <w:sz w:val="24"/>
                <w:szCs w:val="24"/>
                <w:lang w:val="uk-UA"/>
              </w:rPr>
            </w:pPr>
            <w:proofErr w:type="spellStart"/>
            <w:r w:rsidRPr="00B9319E">
              <w:rPr>
                <w:b/>
                <w:sz w:val="24"/>
                <w:szCs w:val="24"/>
                <w:lang w:val="uk-UA"/>
              </w:rPr>
              <w:t>Веб-адреса</w:t>
            </w:r>
            <w:proofErr w:type="spellEnd"/>
            <w:r w:rsidRPr="00B9319E">
              <w:rPr>
                <w:b/>
                <w:sz w:val="24"/>
                <w:szCs w:val="24"/>
                <w:lang w:val="uk-UA"/>
              </w:rPr>
              <w:t xml:space="preserve"> картки законопроекту на сервері ВРУ</w:t>
            </w:r>
          </w:p>
        </w:tc>
        <w:tc>
          <w:tcPr>
            <w:tcW w:w="6486" w:type="dxa"/>
            <w:tcBorders>
              <w:top w:val="single" w:sz="4" w:space="0" w:color="auto"/>
            </w:tcBorders>
          </w:tcPr>
          <w:p w:rsidR="007C1854" w:rsidRPr="001A19DD" w:rsidRDefault="007573CF" w:rsidP="002956A5">
            <w:pPr>
              <w:spacing w:after="0" w:line="240" w:lineRule="auto"/>
              <w:rPr>
                <w:rFonts w:asciiTheme="minorHAnsi" w:hAnsiTheme="minorHAnsi"/>
                <w:sz w:val="24"/>
                <w:szCs w:val="24"/>
                <w:lang w:val="uk-UA"/>
              </w:rPr>
            </w:pPr>
            <w:hyperlink r:id="rId5" w:history="1">
              <w:r w:rsidR="007C1854" w:rsidRPr="00DA125E">
                <w:rPr>
                  <w:rStyle w:val="a3"/>
                  <w:lang w:val="uk-UA"/>
                </w:rPr>
                <w:t>http://w1.c1.rada.gov.ua/pls/zweb2/webproc4_1?pf3511=48908</w:t>
              </w:r>
            </w:hyperlink>
          </w:p>
        </w:tc>
      </w:tr>
      <w:tr w:rsidR="007C1854" w:rsidRPr="00805BAE" w:rsidTr="002956A5">
        <w:tc>
          <w:tcPr>
            <w:tcW w:w="3085" w:type="dxa"/>
            <w:tcBorders>
              <w:top w:val="single" w:sz="4" w:space="0" w:color="auto"/>
            </w:tcBorders>
          </w:tcPr>
          <w:p w:rsidR="007C1854" w:rsidRPr="00B9319E" w:rsidRDefault="007C1854" w:rsidP="002956A5">
            <w:pPr>
              <w:spacing w:after="0" w:line="240" w:lineRule="auto"/>
              <w:rPr>
                <w:b/>
                <w:sz w:val="24"/>
                <w:szCs w:val="24"/>
                <w:lang w:val="uk-UA"/>
              </w:rPr>
            </w:pPr>
            <w:r>
              <w:rPr>
                <w:b/>
                <w:sz w:val="24"/>
                <w:szCs w:val="24"/>
                <w:lang w:val="uk-UA"/>
              </w:rPr>
              <w:t>Дата схвалення висновку Громадською експертною радою</w:t>
            </w:r>
          </w:p>
        </w:tc>
        <w:tc>
          <w:tcPr>
            <w:tcW w:w="6486" w:type="dxa"/>
            <w:tcBorders>
              <w:top w:val="single" w:sz="4" w:space="0" w:color="auto"/>
            </w:tcBorders>
          </w:tcPr>
          <w:p w:rsidR="007C1854" w:rsidRPr="004C3363" w:rsidRDefault="006C48F9" w:rsidP="002956A5">
            <w:pPr>
              <w:spacing w:after="0" w:line="240" w:lineRule="auto"/>
              <w:rPr>
                <w:rFonts w:asciiTheme="minorHAnsi" w:hAnsiTheme="minorHAnsi"/>
                <w:sz w:val="24"/>
                <w:szCs w:val="24"/>
                <w:lang w:val="uk-UA"/>
              </w:rPr>
            </w:pPr>
            <w:r>
              <w:rPr>
                <w:rFonts w:asciiTheme="minorHAnsi" w:hAnsiTheme="minorHAnsi"/>
                <w:sz w:val="24"/>
                <w:szCs w:val="24"/>
                <w:lang w:val="uk-UA"/>
              </w:rPr>
              <w:t>14 січня 2014 року</w:t>
            </w:r>
          </w:p>
        </w:tc>
      </w:tr>
      <w:tr w:rsidR="007C1854" w:rsidRPr="00B9319E" w:rsidTr="002956A5">
        <w:tc>
          <w:tcPr>
            <w:tcW w:w="3085" w:type="dxa"/>
            <w:tcBorders>
              <w:top w:val="single" w:sz="4" w:space="0" w:color="auto"/>
            </w:tcBorders>
          </w:tcPr>
          <w:p w:rsidR="007C1854" w:rsidRPr="00B9319E" w:rsidRDefault="007C1854" w:rsidP="002956A5">
            <w:pPr>
              <w:spacing w:after="0" w:line="240" w:lineRule="auto"/>
              <w:rPr>
                <w:b/>
                <w:sz w:val="24"/>
                <w:szCs w:val="24"/>
                <w:lang w:val="uk-UA"/>
              </w:rPr>
            </w:pPr>
            <w:r w:rsidRPr="00B9319E">
              <w:rPr>
                <w:b/>
                <w:sz w:val="24"/>
                <w:szCs w:val="24"/>
                <w:lang w:val="uk-UA"/>
              </w:rPr>
              <w:t xml:space="preserve">Висновок та рекомендації </w:t>
            </w:r>
          </w:p>
          <w:p w:rsidR="007C1854" w:rsidRPr="00B9319E" w:rsidRDefault="007C1854" w:rsidP="002956A5">
            <w:pPr>
              <w:spacing w:after="0" w:line="240" w:lineRule="auto"/>
              <w:rPr>
                <w:b/>
                <w:sz w:val="24"/>
                <w:szCs w:val="24"/>
                <w:lang w:val="uk-UA"/>
              </w:rPr>
            </w:pPr>
            <w:r w:rsidRPr="00B9319E">
              <w:rPr>
                <w:b/>
                <w:sz w:val="24"/>
                <w:szCs w:val="24"/>
                <w:lang w:val="uk-UA"/>
              </w:rPr>
              <w:t>Громадської експертної ради</w:t>
            </w:r>
          </w:p>
        </w:tc>
        <w:tc>
          <w:tcPr>
            <w:tcW w:w="6486" w:type="dxa"/>
            <w:tcBorders>
              <w:top w:val="single" w:sz="4" w:space="0" w:color="auto"/>
            </w:tcBorders>
          </w:tcPr>
          <w:p w:rsidR="007C1854" w:rsidRDefault="007C1854" w:rsidP="002956A5">
            <w:pPr>
              <w:spacing w:after="0" w:line="240" w:lineRule="auto"/>
              <w:rPr>
                <w:rFonts w:asciiTheme="minorHAnsi" w:hAnsiTheme="minorHAnsi"/>
                <w:b/>
                <w:sz w:val="24"/>
                <w:szCs w:val="24"/>
                <w:lang w:val="uk-UA"/>
              </w:rPr>
            </w:pPr>
            <w:r>
              <w:rPr>
                <w:rFonts w:asciiTheme="minorHAnsi" w:hAnsiTheme="minorHAnsi"/>
                <w:b/>
                <w:sz w:val="24"/>
                <w:szCs w:val="24"/>
                <w:lang w:val="uk-UA"/>
              </w:rPr>
              <w:t xml:space="preserve">У проекті виявлені корупційні ризики </w:t>
            </w:r>
          </w:p>
          <w:p w:rsidR="007C1854" w:rsidRDefault="007C1854" w:rsidP="002956A5">
            <w:pPr>
              <w:spacing w:after="0" w:line="240" w:lineRule="auto"/>
              <w:rPr>
                <w:rFonts w:asciiTheme="minorHAnsi" w:hAnsiTheme="minorHAnsi"/>
                <w:b/>
                <w:sz w:val="24"/>
                <w:szCs w:val="24"/>
                <w:lang w:val="uk-UA"/>
              </w:rPr>
            </w:pPr>
          </w:p>
          <w:p w:rsidR="007C1854" w:rsidRPr="001A19DD" w:rsidRDefault="007C1854" w:rsidP="002956A5">
            <w:pPr>
              <w:spacing w:after="0" w:line="240" w:lineRule="auto"/>
              <w:rPr>
                <w:rFonts w:asciiTheme="minorHAnsi" w:hAnsiTheme="minorHAnsi"/>
                <w:b/>
                <w:sz w:val="24"/>
                <w:szCs w:val="24"/>
                <w:lang w:val="uk-UA"/>
              </w:rPr>
            </w:pPr>
            <w:r>
              <w:rPr>
                <w:rFonts w:asciiTheme="minorHAnsi" w:hAnsiTheme="minorHAnsi"/>
                <w:b/>
                <w:sz w:val="24"/>
                <w:szCs w:val="24"/>
                <w:lang w:val="uk-UA"/>
              </w:rPr>
              <w:t>Відхилити законопроект</w:t>
            </w:r>
          </w:p>
        </w:tc>
      </w:tr>
    </w:tbl>
    <w:p w:rsidR="008603A9" w:rsidRPr="00905C1E" w:rsidRDefault="008603A9" w:rsidP="008603A9">
      <w:pPr>
        <w:spacing w:after="0" w:line="240" w:lineRule="auto"/>
        <w:rPr>
          <w:sz w:val="24"/>
          <w:szCs w:val="24"/>
        </w:rPr>
      </w:pPr>
    </w:p>
    <w:p w:rsidR="008603A9" w:rsidRPr="00103934" w:rsidRDefault="008603A9" w:rsidP="008603A9">
      <w:pPr>
        <w:spacing w:after="0" w:line="240" w:lineRule="auto"/>
        <w:rPr>
          <w:sz w:val="24"/>
          <w:szCs w:val="24"/>
          <w:lang w:val="uk-UA"/>
        </w:rPr>
      </w:pPr>
    </w:p>
    <w:p w:rsidR="008603A9" w:rsidRDefault="008603A9" w:rsidP="008603A9">
      <w:pPr>
        <w:jc w:val="right"/>
        <w:rPr>
          <w:sz w:val="24"/>
          <w:szCs w:val="24"/>
          <w:lang w:val="uk-UA"/>
        </w:rPr>
      </w:pPr>
      <w:r w:rsidRPr="00653095">
        <w:rPr>
          <w:sz w:val="24"/>
          <w:szCs w:val="24"/>
          <w:lang w:val="uk-UA"/>
        </w:rPr>
        <w:t>Виконавець:</w:t>
      </w:r>
    </w:p>
    <w:p w:rsidR="007C1854" w:rsidRPr="00561153" w:rsidRDefault="007C1854" w:rsidP="007C1854">
      <w:pPr>
        <w:spacing w:after="0" w:line="240" w:lineRule="auto"/>
        <w:jc w:val="right"/>
        <w:rPr>
          <w:sz w:val="24"/>
          <w:szCs w:val="24"/>
          <w:shd w:val="clear" w:color="auto" w:fill="FFFFFF"/>
          <w:lang w:val="uk-UA"/>
        </w:rPr>
      </w:pPr>
      <w:r w:rsidRPr="00561153">
        <w:rPr>
          <w:sz w:val="24"/>
          <w:szCs w:val="24"/>
          <w:shd w:val="clear" w:color="auto" w:fill="FFFFFF"/>
          <w:lang w:val="uk-UA"/>
        </w:rPr>
        <w:t xml:space="preserve">директор з наукового розвитку Центру політико-правових реформ, </w:t>
      </w:r>
    </w:p>
    <w:p w:rsidR="007C1854" w:rsidRPr="00561153" w:rsidRDefault="007C1854" w:rsidP="007C1854">
      <w:pPr>
        <w:spacing w:after="0" w:line="240" w:lineRule="auto"/>
        <w:jc w:val="right"/>
        <w:rPr>
          <w:sz w:val="24"/>
          <w:szCs w:val="24"/>
          <w:lang w:val="uk-UA"/>
        </w:rPr>
      </w:pPr>
      <w:r w:rsidRPr="00561153">
        <w:rPr>
          <w:sz w:val="24"/>
          <w:szCs w:val="24"/>
          <w:shd w:val="clear" w:color="auto" w:fill="FFFFFF"/>
          <w:lang w:val="uk-UA"/>
        </w:rPr>
        <w:t>експерт з кримінального права і проблем корупції</w:t>
      </w:r>
    </w:p>
    <w:p w:rsidR="008603A9" w:rsidRPr="00F25C40" w:rsidRDefault="007C1854" w:rsidP="007C1854">
      <w:pPr>
        <w:spacing w:before="120" w:after="0" w:line="240" w:lineRule="auto"/>
        <w:jc w:val="right"/>
        <w:rPr>
          <w:sz w:val="24"/>
          <w:szCs w:val="24"/>
          <w:lang w:val="uk-UA"/>
        </w:rPr>
      </w:pPr>
      <w:r w:rsidRPr="00561153">
        <w:rPr>
          <w:sz w:val="26"/>
          <w:lang w:val="uk-UA"/>
        </w:rPr>
        <w:t>Микола Хавронюк</w:t>
      </w:r>
    </w:p>
    <w:p w:rsidR="008603A9" w:rsidRDefault="008603A9" w:rsidP="008603A9">
      <w:pPr>
        <w:jc w:val="right"/>
        <w:rPr>
          <w:sz w:val="24"/>
          <w:szCs w:val="24"/>
          <w:lang w:val="uk-UA"/>
        </w:rPr>
      </w:pPr>
    </w:p>
    <w:p w:rsidR="008603A9" w:rsidRDefault="008603A9" w:rsidP="008603A9">
      <w:pPr>
        <w:jc w:val="right"/>
        <w:rPr>
          <w:sz w:val="24"/>
          <w:szCs w:val="24"/>
          <w:lang w:val="uk-UA"/>
        </w:rPr>
      </w:pPr>
    </w:p>
    <w:p w:rsidR="008603A9" w:rsidRPr="005335BE" w:rsidRDefault="008603A9" w:rsidP="008603A9">
      <w:pPr>
        <w:jc w:val="right"/>
        <w:rPr>
          <w:sz w:val="24"/>
          <w:szCs w:val="24"/>
          <w:lang w:val="uk-UA"/>
        </w:rPr>
      </w:pPr>
    </w:p>
    <w:p w:rsidR="008603A9" w:rsidRPr="00962E13" w:rsidRDefault="008603A9" w:rsidP="008603A9">
      <w:pPr>
        <w:rPr>
          <w:sz w:val="24"/>
          <w:szCs w:val="24"/>
        </w:rPr>
      </w:pPr>
      <w:r w:rsidRPr="00962E13">
        <w:rPr>
          <w:sz w:val="24"/>
          <w:szCs w:val="24"/>
        </w:rPr>
        <w:br w:type="page"/>
      </w:r>
    </w:p>
    <w:p w:rsidR="008603A9" w:rsidRPr="00C24F10" w:rsidRDefault="008603A9" w:rsidP="008603A9">
      <w:pPr>
        <w:pStyle w:val="1"/>
        <w:numPr>
          <w:ilvl w:val="0"/>
          <w:numId w:val="1"/>
        </w:numPr>
        <w:pBdr>
          <w:top w:val="single" w:sz="4" w:space="1" w:color="auto"/>
          <w:left w:val="single" w:sz="4" w:space="31" w:color="auto"/>
          <w:bottom w:val="single" w:sz="4" w:space="0" w:color="auto"/>
          <w:right w:val="single" w:sz="4" w:space="8" w:color="auto"/>
        </w:pBdr>
        <w:spacing w:before="120" w:after="0" w:line="240" w:lineRule="auto"/>
        <w:ind w:left="142" w:hanging="87"/>
        <w:contextualSpacing w:val="0"/>
        <w:rPr>
          <w:b/>
          <w:sz w:val="26"/>
          <w:szCs w:val="26"/>
        </w:rPr>
      </w:pPr>
      <w:r w:rsidRPr="00C24F10">
        <w:rPr>
          <w:b/>
          <w:sz w:val="26"/>
          <w:szCs w:val="26"/>
          <w:lang w:val="uk-UA"/>
        </w:rPr>
        <w:lastRenderedPageBreak/>
        <w:t>Короткий виклад результа</w:t>
      </w:r>
      <w:r>
        <w:rPr>
          <w:b/>
          <w:sz w:val="26"/>
          <w:szCs w:val="26"/>
          <w:lang w:val="uk-UA"/>
        </w:rPr>
        <w:t>тів громадської антикорупційної експертизи</w:t>
      </w:r>
    </w:p>
    <w:p w:rsidR="008603A9" w:rsidRDefault="008603A9" w:rsidP="008603A9">
      <w:pPr>
        <w:pStyle w:val="1"/>
        <w:numPr>
          <w:ilvl w:val="0"/>
          <w:numId w:val="2"/>
        </w:numPr>
        <w:spacing w:before="120" w:after="0" w:line="240" w:lineRule="auto"/>
        <w:ind w:left="0" w:right="-711" w:firstLine="0"/>
        <w:contextualSpacing w:val="0"/>
        <w:rPr>
          <w:b/>
          <w:sz w:val="26"/>
          <w:szCs w:val="24"/>
          <w:lang w:val="uk-UA"/>
        </w:rPr>
      </w:pPr>
      <w:r>
        <w:rPr>
          <w:b/>
          <w:sz w:val="26"/>
          <w:szCs w:val="24"/>
          <w:lang w:val="uk-UA"/>
        </w:rPr>
        <w:t>Задекларована</w:t>
      </w:r>
      <w:r w:rsidRPr="005D4B7A">
        <w:rPr>
          <w:b/>
          <w:sz w:val="26"/>
          <w:szCs w:val="24"/>
          <w:lang w:val="uk-UA"/>
        </w:rPr>
        <w:t xml:space="preserve"> ціль та способи її досягнення: </w:t>
      </w:r>
    </w:p>
    <w:p w:rsidR="008A22C8" w:rsidRDefault="008603A9" w:rsidP="008A22C8">
      <w:pPr>
        <w:pStyle w:val="1"/>
        <w:spacing w:before="120" w:after="0" w:line="240" w:lineRule="auto"/>
        <w:ind w:left="0" w:right="-711"/>
        <w:contextualSpacing w:val="0"/>
        <w:rPr>
          <w:sz w:val="24"/>
          <w:szCs w:val="24"/>
          <w:lang w:val="uk-UA" w:eastAsia="ru-RU"/>
        </w:rPr>
      </w:pPr>
      <w:r w:rsidRPr="00333766">
        <w:rPr>
          <w:b/>
          <w:sz w:val="24"/>
          <w:szCs w:val="24"/>
          <w:lang w:val="uk-UA"/>
        </w:rPr>
        <w:t xml:space="preserve">Ціль: </w:t>
      </w:r>
      <w:r w:rsidR="008A22C8" w:rsidRPr="00EE66AA">
        <w:rPr>
          <w:sz w:val="24"/>
          <w:szCs w:val="24"/>
          <w:lang w:val="uk-UA" w:eastAsia="ru-RU"/>
        </w:rPr>
        <w:t>забезпечення повноцінного функціонування Держ</w:t>
      </w:r>
      <w:r w:rsidR="008A22C8">
        <w:rPr>
          <w:sz w:val="24"/>
          <w:szCs w:val="24"/>
          <w:lang w:val="uk-UA" w:eastAsia="ru-RU"/>
        </w:rPr>
        <w:t xml:space="preserve">авного </w:t>
      </w:r>
      <w:r w:rsidR="008A22C8" w:rsidRPr="00EE66AA">
        <w:rPr>
          <w:sz w:val="24"/>
          <w:szCs w:val="24"/>
          <w:lang w:val="uk-UA" w:eastAsia="ru-RU"/>
        </w:rPr>
        <w:t>зем</w:t>
      </w:r>
      <w:r w:rsidR="008A22C8">
        <w:rPr>
          <w:sz w:val="24"/>
          <w:szCs w:val="24"/>
          <w:lang w:val="uk-UA" w:eastAsia="ru-RU"/>
        </w:rPr>
        <w:t xml:space="preserve">ельного </w:t>
      </w:r>
      <w:r w:rsidR="008A22C8" w:rsidRPr="00EE66AA">
        <w:rPr>
          <w:sz w:val="24"/>
          <w:szCs w:val="24"/>
          <w:lang w:val="uk-UA" w:eastAsia="ru-RU"/>
        </w:rPr>
        <w:t>банку</w:t>
      </w:r>
      <w:r w:rsidR="008A22C8">
        <w:rPr>
          <w:sz w:val="24"/>
          <w:szCs w:val="24"/>
          <w:lang w:val="uk-UA" w:eastAsia="ru-RU"/>
        </w:rPr>
        <w:t>; більш ефективна реалізація</w:t>
      </w:r>
      <w:r w:rsidR="008A22C8" w:rsidRPr="00EE66AA">
        <w:rPr>
          <w:sz w:val="24"/>
          <w:szCs w:val="24"/>
          <w:lang w:val="uk-UA" w:eastAsia="ru-RU"/>
        </w:rPr>
        <w:t xml:space="preserve"> державою програм економічного і соціального розвитку в сі</w:t>
      </w:r>
      <w:r w:rsidR="008A22C8">
        <w:rPr>
          <w:sz w:val="24"/>
          <w:szCs w:val="24"/>
          <w:lang w:val="uk-UA" w:eastAsia="ru-RU"/>
        </w:rPr>
        <w:t>льській місцевості, забезпечення</w:t>
      </w:r>
      <w:r w:rsidR="008A22C8" w:rsidRPr="00EE66AA">
        <w:rPr>
          <w:sz w:val="24"/>
          <w:szCs w:val="24"/>
          <w:lang w:val="uk-UA" w:eastAsia="ru-RU"/>
        </w:rPr>
        <w:t xml:space="preserve"> прав власників земельних ділянок сільськогосподарського призначення, зокрема наданих для ведення товарного сільськогосподарського виробництва.</w:t>
      </w:r>
    </w:p>
    <w:p w:rsidR="008A22C8" w:rsidRPr="00A84C07" w:rsidRDefault="008A22C8" w:rsidP="00710E92">
      <w:pPr>
        <w:pStyle w:val="1"/>
        <w:spacing w:before="120" w:after="0" w:line="240" w:lineRule="auto"/>
        <w:ind w:left="0"/>
        <w:contextualSpacing w:val="0"/>
        <w:jc w:val="both"/>
        <w:rPr>
          <w:sz w:val="26"/>
          <w:szCs w:val="24"/>
          <w:lang w:val="uk-UA"/>
        </w:rPr>
      </w:pPr>
      <w:r w:rsidRPr="00DE57C4">
        <w:rPr>
          <w:rFonts w:cs="Arial"/>
          <w:b/>
          <w:sz w:val="24"/>
          <w:szCs w:val="24"/>
          <w:lang w:val="uk-UA"/>
        </w:rPr>
        <w:t>Спосіб досягнення:</w:t>
      </w:r>
      <w:r>
        <w:rPr>
          <w:rFonts w:cs="Arial"/>
          <w:sz w:val="24"/>
          <w:szCs w:val="24"/>
          <w:lang w:val="uk-UA"/>
        </w:rPr>
        <w:t xml:space="preserve"> шляхом внесення змін до Земельного Кодексу України та ЗУ «Про оцінку земель» </w:t>
      </w:r>
      <w:r w:rsidR="00710E92">
        <w:rPr>
          <w:rFonts w:cs="Arial"/>
          <w:sz w:val="24"/>
          <w:szCs w:val="24"/>
          <w:lang w:val="uk-UA"/>
        </w:rPr>
        <w:t xml:space="preserve">встановлюється, що земельні ділянки сільськогосподарського призначення державної власності </w:t>
      </w:r>
      <w:r w:rsidR="00050D5F">
        <w:rPr>
          <w:rFonts w:cs="Arial"/>
          <w:sz w:val="24"/>
          <w:szCs w:val="24"/>
          <w:lang w:val="uk-UA"/>
        </w:rPr>
        <w:t>можуть передаватися</w:t>
      </w:r>
      <w:r w:rsidR="00710E92">
        <w:rPr>
          <w:rFonts w:cs="Arial"/>
          <w:sz w:val="24"/>
          <w:szCs w:val="24"/>
          <w:lang w:val="uk-UA"/>
        </w:rPr>
        <w:t xml:space="preserve"> </w:t>
      </w:r>
      <w:proofErr w:type="spellStart"/>
      <w:r w:rsidR="00710E92">
        <w:rPr>
          <w:rFonts w:cs="Arial"/>
          <w:sz w:val="24"/>
          <w:szCs w:val="24"/>
          <w:lang w:val="uk-UA"/>
        </w:rPr>
        <w:t>Держзембанку</w:t>
      </w:r>
      <w:proofErr w:type="spellEnd"/>
      <w:r w:rsidR="00710E92">
        <w:rPr>
          <w:rFonts w:cs="Arial"/>
          <w:sz w:val="24"/>
          <w:szCs w:val="24"/>
          <w:lang w:val="uk-UA"/>
        </w:rPr>
        <w:t xml:space="preserve"> для провадження його статутної діяльності. Законодавчо визначається право </w:t>
      </w:r>
      <w:proofErr w:type="spellStart"/>
      <w:r w:rsidR="00710E92">
        <w:rPr>
          <w:sz w:val="24"/>
          <w:szCs w:val="24"/>
          <w:lang w:val="uk-UA"/>
        </w:rPr>
        <w:t>Держзем</w:t>
      </w:r>
      <w:r w:rsidR="00710E92" w:rsidRPr="00C81876">
        <w:rPr>
          <w:sz w:val="24"/>
          <w:szCs w:val="24"/>
          <w:lang w:val="uk-UA"/>
        </w:rPr>
        <w:t>банку</w:t>
      </w:r>
      <w:proofErr w:type="spellEnd"/>
      <w:r w:rsidR="00710E92" w:rsidRPr="00C81876">
        <w:rPr>
          <w:sz w:val="24"/>
          <w:szCs w:val="24"/>
          <w:lang w:val="uk-UA"/>
        </w:rPr>
        <w:t xml:space="preserve"> на земельні ділянки та порядок їх набуття, особливості передачі земельних ділянок сільськогосподарського призначення державної власності до його статутного капіталу.</w:t>
      </w:r>
      <w:r w:rsidR="00710E92">
        <w:rPr>
          <w:sz w:val="24"/>
          <w:szCs w:val="24"/>
          <w:lang w:val="uk-UA"/>
        </w:rPr>
        <w:t xml:space="preserve"> Знімаються обмеження щодо </w:t>
      </w:r>
      <w:r w:rsidR="00710E92" w:rsidRPr="00C81876">
        <w:rPr>
          <w:sz w:val="24"/>
          <w:szCs w:val="24"/>
          <w:lang w:val="uk-UA"/>
        </w:rPr>
        <w:t>граничної площі земельних ділянок сільськогосподарського призначення державної власності, що можуть передаватись до статутного капіталу</w:t>
      </w:r>
      <w:r w:rsidR="00710E92">
        <w:rPr>
          <w:sz w:val="24"/>
          <w:szCs w:val="24"/>
          <w:lang w:val="uk-UA"/>
        </w:rPr>
        <w:t xml:space="preserve"> банку.</w:t>
      </w:r>
      <w:r>
        <w:rPr>
          <w:sz w:val="24"/>
          <w:szCs w:val="24"/>
          <w:lang w:val="uk-UA"/>
        </w:rPr>
        <w:t xml:space="preserve"> </w:t>
      </w:r>
    </w:p>
    <w:p w:rsidR="008603A9" w:rsidRPr="005D4B7A" w:rsidRDefault="008603A9" w:rsidP="008603A9">
      <w:pPr>
        <w:pStyle w:val="1"/>
        <w:numPr>
          <w:ilvl w:val="0"/>
          <w:numId w:val="2"/>
        </w:numPr>
        <w:spacing w:before="120" w:after="0" w:line="240" w:lineRule="auto"/>
        <w:ind w:left="0" w:right="-709" w:firstLine="0"/>
        <w:contextualSpacing w:val="0"/>
        <w:rPr>
          <w:sz w:val="26"/>
          <w:szCs w:val="24"/>
          <w:lang w:val="uk-UA"/>
        </w:rPr>
      </w:pPr>
      <w:r w:rsidRPr="005D4B7A">
        <w:rPr>
          <w:b/>
          <w:sz w:val="26"/>
          <w:szCs w:val="24"/>
          <w:lang w:val="uk-UA"/>
        </w:rPr>
        <w:t>Ризик створення корупційної схеми:</w:t>
      </w:r>
      <w:r>
        <w:rPr>
          <w:sz w:val="26"/>
          <w:szCs w:val="24"/>
          <w:lang w:val="uk-UA"/>
        </w:rPr>
        <w:t xml:space="preserve"> </w:t>
      </w:r>
      <w:r w:rsidRPr="005C3C4F">
        <w:rPr>
          <w:sz w:val="24"/>
          <w:szCs w:val="24"/>
          <w:lang w:val="uk-UA"/>
        </w:rPr>
        <w:t>наявний</w:t>
      </w:r>
      <w:r>
        <w:rPr>
          <w:sz w:val="26"/>
          <w:szCs w:val="24"/>
          <w:lang w:val="uk-UA"/>
        </w:rPr>
        <w:t xml:space="preserve"> </w:t>
      </w:r>
    </w:p>
    <w:p w:rsidR="008603A9" w:rsidRDefault="008603A9" w:rsidP="00050D5F">
      <w:pPr>
        <w:spacing w:before="120" w:after="0" w:line="240" w:lineRule="auto"/>
        <w:jc w:val="both"/>
        <w:rPr>
          <w:sz w:val="24"/>
          <w:szCs w:val="24"/>
          <w:lang w:val="uk-UA"/>
        </w:rPr>
      </w:pPr>
      <w:r w:rsidRPr="005D4B7A">
        <w:rPr>
          <w:b/>
          <w:i/>
          <w:sz w:val="26"/>
          <w:szCs w:val="24"/>
          <w:lang w:val="uk-UA"/>
        </w:rPr>
        <w:t>Яким чином може працювати корупційна схема:</w:t>
      </w:r>
      <w:r>
        <w:rPr>
          <w:sz w:val="24"/>
          <w:szCs w:val="24"/>
          <w:lang w:val="uk-UA"/>
        </w:rPr>
        <w:t xml:space="preserve"> </w:t>
      </w:r>
      <w:r w:rsidR="00946EBD">
        <w:rPr>
          <w:sz w:val="24"/>
          <w:szCs w:val="24"/>
          <w:lang w:val="uk-UA"/>
        </w:rPr>
        <w:t xml:space="preserve">Законопроект створює колізії в законодавстві, що </w:t>
      </w:r>
      <w:r w:rsidR="00946EBD" w:rsidRPr="00B034A1">
        <w:rPr>
          <w:sz w:val="24"/>
          <w:szCs w:val="24"/>
          <w:lang w:val="uk-UA"/>
        </w:rPr>
        <w:t>призводить до порушення принципу визначеності правового регулювання та може бути використане заінтересованими особами з метою отримання неправомірної вигоди.</w:t>
      </w:r>
      <w:r w:rsidR="00946EBD">
        <w:rPr>
          <w:sz w:val="24"/>
          <w:szCs w:val="24"/>
          <w:lang w:val="uk-UA"/>
        </w:rPr>
        <w:t xml:space="preserve"> Наприклад, </w:t>
      </w:r>
      <w:r w:rsidR="00050D5F">
        <w:rPr>
          <w:sz w:val="24"/>
          <w:szCs w:val="24"/>
          <w:lang w:val="uk-UA"/>
        </w:rPr>
        <w:t xml:space="preserve">передбачається, що землі сільськогосподарського призначення можуть передаватися </w:t>
      </w:r>
      <w:proofErr w:type="spellStart"/>
      <w:r w:rsidR="00050D5F">
        <w:rPr>
          <w:sz w:val="24"/>
          <w:szCs w:val="24"/>
          <w:lang w:val="uk-UA"/>
        </w:rPr>
        <w:t>Держзембанку</w:t>
      </w:r>
      <w:proofErr w:type="spellEnd"/>
      <w:r w:rsidR="00050D5F">
        <w:rPr>
          <w:sz w:val="24"/>
          <w:szCs w:val="24"/>
          <w:lang w:val="uk-UA"/>
        </w:rPr>
        <w:t xml:space="preserve"> «для провадження ним статутно</w:t>
      </w:r>
      <w:r w:rsidR="003B066B">
        <w:rPr>
          <w:sz w:val="24"/>
          <w:szCs w:val="24"/>
          <w:lang w:val="uk-UA"/>
        </w:rPr>
        <w:t>ї діяльності». Проте Земельний К</w:t>
      </w:r>
      <w:r w:rsidR="00050D5F">
        <w:rPr>
          <w:sz w:val="24"/>
          <w:szCs w:val="24"/>
          <w:lang w:val="uk-UA"/>
        </w:rPr>
        <w:t xml:space="preserve">одекс наголошує, що такі землі повинні надаватися насамперед для сільськогосподарського використання. Тобто, </w:t>
      </w:r>
      <w:proofErr w:type="spellStart"/>
      <w:r w:rsidR="00050D5F">
        <w:rPr>
          <w:sz w:val="24"/>
          <w:szCs w:val="24"/>
          <w:lang w:val="uk-UA"/>
        </w:rPr>
        <w:t>Держзембанк</w:t>
      </w:r>
      <w:proofErr w:type="spellEnd"/>
      <w:r w:rsidR="00050D5F">
        <w:rPr>
          <w:sz w:val="24"/>
          <w:szCs w:val="24"/>
          <w:lang w:val="uk-UA"/>
        </w:rPr>
        <w:t xml:space="preserve"> буде повинен їх використовувати безпосередньо для городництва, сільськогосподарського виробництва, що є несумісним із поняттям «банк», визначеним ЗУ «Про банки та банківську діяльність». </w:t>
      </w:r>
    </w:p>
    <w:p w:rsidR="008603A9" w:rsidRPr="00C63174" w:rsidRDefault="008603A9" w:rsidP="008603A9">
      <w:pPr>
        <w:spacing w:before="120" w:after="0" w:line="240" w:lineRule="auto"/>
        <w:jc w:val="both"/>
        <w:rPr>
          <w:sz w:val="24"/>
          <w:szCs w:val="24"/>
          <w:lang w:val="uk-UA"/>
        </w:rPr>
      </w:pPr>
      <w:r w:rsidRPr="005D4B7A">
        <w:rPr>
          <w:b/>
          <w:i/>
          <w:sz w:val="26"/>
          <w:szCs w:val="24"/>
          <w:lang w:val="uk-UA"/>
        </w:rPr>
        <w:t>Хто може отримувати корупційну вигоду:</w:t>
      </w:r>
      <w:r w:rsidRPr="005D4B7A">
        <w:rPr>
          <w:sz w:val="26"/>
          <w:szCs w:val="24"/>
          <w:lang w:val="uk-UA"/>
        </w:rPr>
        <w:t xml:space="preserve"> </w:t>
      </w:r>
      <w:r w:rsidR="001254F8" w:rsidRPr="00561153">
        <w:rPr>
          <w:rFonts w:cs="Arial"/>
          <w:sz w:val="24"/>
          <w:szCs w:val="24"/>
          <w:lang w:val="uk-UA"/>
        </w:rPr>
        <w:t xml:space="preserve">представники </w:t>
      </w:r>
      <w:r w:rsidR="001254F8">
        <w:rPr>
          <w:rFonts w:cs="Arial"/>
          <w:sz w:val="24"/>
          <w:szCs w:val="24"/>
          <w:lang w:val="uk-UA"/>
        </w:rPr>
        <w:t xml:space="preserve">Кабінету Міністрів України та </w:t>
      </w:r>
      <w:r w:rsidR="001254F8">
        <w:rPr>
          <w:sz w:val="24"/>
          <w:szCs w:val="24"/>
          <w:lang w:val="uk-UA"/>
        </w:rPr>
        <w:t>особи, наближені до членів Кабінету Міністрів України.</w:t>
      </w:r>
    </w:p>
    <w:p w:rsidR="008603A9" w:rsidRPr="005D4B7A" w:rsidRDefault="008603A9" w:rsidP="008603A9">
      <w:pPr>
        <w:spacing w:before="120" w:after="0" w:line="240" w:lineRule="auto"/>
        <w:jc w:val="both"/>
        <w:rPr>
          <w:sz w:val="26"/>
          <w:szCs w:val="24"/>
          <w:lang w:val="uk-UA"/>
        </w:rPr>
      </w:pPr>
      <w:r w:rsidRPr="005D4B7A">
        <w:rPr>
          <w:b/>
          <w:i/>
          <w:sz w:val="26"/>
          <w:szCs w:val="24"/>
          <w:lang w:val="uk-UA"/>
        </w:rPr>
        <w:t>Оцінка обсягу корупційної вигоди:</w:t>
      </w:r>
      <w:r w:rsidRPr="005D4B7A">
        <w:rPr>
          <w:sz w:val="26"/>
          <w:szCs w:val="24"/>
          <w:lang w:val="uk-UA"/>
        </w:rPr>
        <w:t xml:space="preserve"> </w:t>
      </w:r>
      <w:r w:rsidR="0027047D">
        <w:rPr>
          <w:sz w:val="24"/>
          <w:szCs w:val="24"/>
          <w:lang w:val="uk-UA"/>
        </w:rPr>
        <w:t>важко оцінити</w:t>
      </w:r>
      <w:r w:rsidRPr="005D4B7A">
        <w:rPr>
          <w:sz w:val="26"/>
          <w:szCs w:val="24"/>
          <w:lang w:val="uk-UA"/>
        </w:rPr>
        <w:t xml:space="preserve">  </w:t>
      </w:r>
    </w:p>
    <w:p w:rsidR="008603A9" w:rsidRPr="006D51AB" w:rsidRDefault="008603A9" w:rsidP="008603A9">
      <w:pPr>
        <w:spacing w:before="120" w:after="0" w:line="240" w:lineRule="auto"/>
        <w:jc w:val="both"/>
        <w:rPr>
          <w:sz w:val="24"/>
          <w:szCs w:val="24"/>
          <w:lang w:val="uk-UA"/>
        </w:rPr>
      </w:pPr>
      <w:r w:rsidRPr="005D4B7A">
        <w:rPr>
          <w:b/>
          <w:i/>
          <w:sz w:val="26"/>
          <w:szCs w:val="24"/>
          <w:lang w:val="uk-UA"/>
        </w:rPr>
        <w:t>Хто платитиме корупційні внески:</w:t>
      </w:r>
      <w:r w:rsidRPr="00367AAC">
        <w:rPr>
          <w:sz w:val="24"/>
          <w:szCs w:val="24"/>
          <w:lang w:val="uk-UA"/>
        </w:rPr>
        <w:t xml:space="preserve"> </w:t>
      </w:r>
      <w:r w:rsidR="001254F8" w:rsidRPr="00561153">
        <w:rPr>
          <w:sz w:val="24"/>
          <w:szCs w:val="24"/>
          <w:lang w:val="uk-UA"/>
        </w:rPr>
        <w:t xml:space="preserve">громадяни України, </w:t>
      </w:r>
      <w:r w:rsidR="001254F8">
        <w:rPr>
          <w:sz w:val="24"/>
          <w:szCs w:val="24"/>
          <w:lang w:val="uk-UA"/>
        </w:rPr>
        <w:t xml:space="preserve">зацікавлені в </w:t>
      </w:r>
      <w:r w:rsidR="001254F8" w:rsidRPr="00111325">
        <w:rPr>
          <w:sz w:val="24"/>
          <w:szCs w:val="24"/>
          <w:lang w:val="uk-UA"/>
        </w:rPr>
        <w:t>передачі земельних ділянок сільськогосподарського призначення державної власності до статутного капіталу Державного земельного банку</w:t>
      </w:r>
      <w:r w:rsidR="001254F8">
        <w:rPr>
          <w:sz w:val="24"/>
          <w:szCs w:val="24"/>
          <w:lang w:val="uk-UA"/>
        </w:rPr>
        <w:t>.</w:t>
      </w:r>
    </w:p>
    <w:p w:rsidR="008603A9" w:rsidRPr="005D4B7A" w:rsidRDefault="008603A9" w:rsidP="008603A9">
      <w:pPr>
        <w:pStyle w:val="1"/>
        <w:numPr>
          <w:ilvl w:val="0"/>
          <w:numId w:val="2"/>
        </w:numPr>
        <w:spacing w:before="120" w:after="0" w:line="240" w:lineRule="auto"/>
        <w:ind w:left="0" w:right="-711" w:firstLine="0"/>
        <w:rPr>
          <w:b/>
          <w:sz w:val="26"/>
          <w:szCs w:val="24"/>
          <w:lang w:val="uk-UA"/>
        </w:rPr>
      </w:pPr>
      <w:r w:rsidRPr="005D4B7A">
        <w:rPr>
          <w:b/>
          <w:sz w:val="26"/>
          <w:szCs w:val="24"/>
          <w:lang w:val="uk-UA"/>
        </w:rPr>
        <w:t xml:space="preserve">Втрати та жертви </w:t>
      </w:r>
    </w:p>
    <w:p w:rsidR="008603A9" w:rsidRDefault="008603A9" w:rsidP="00050D5F">
      <w:pPr>
        <w:spacing w:before="120" w:after="0" w:line="240" w:lineRule="auto"/>
        <w:jc w:val="both"/>
        <w:rPr>
          <w:sz w:val="24"/>
          <w:szCs w:val="24"/>
          <w:lang w:val="uk-UA"/>
        </w:rPr>
      </w:pPr>
      <w:r w:rsidRPr="008F0ADC">
        <w:rPr>
          <w:sz w:val="24"/>
          <w:szCs w:val="24"/>
          <w:lang w:val="uk-UA"/>
        </w:rPr>
        <w:t xml:space="preserve">Ключові </w:t>
      </w:r>
      <w:r w:rsidRPr="008F0ADC">
        <w:rPr>
          <w:b/>
          <w:i/>
          <w:sz w:val="24"/>
          <w:szCs w:val="24"/>
          <w:lang w:val="uk-UA"/>
        </w:rPr>
        <w:t>негативні наслідки</w:t>
      </w:r>
      <w:r w:rsidRPr="008F0ADC">
        <w:rPr>
          <w:sz w:val="24"/>
          <w:szCs w:val="24"/>
          <w:lang w:val="uk-UA"/>
        </w:rPr>
        <w:t xml:space="preserve">: </w:t>
      </w:r>
      <w:r w:rsidR="00050D5F">
        <w:rPr>
          <w:sz w:val="24"/>
          <w:szCs w:val="24"/>
          <w:lang w:val="uk-UA"/>
        </w:rPr>
        <w:t>впливом на прийняття рішень про передачу</w:t>
      </w:r>
      <w:r w:rsidR="00050D5F" w:rsidRPr="00111325">
        <w:rPr>
          <w:sz w:val="24"/>
          <w:szCs w:val="24"/>
          <w:lang w:val="uk-UA"/>
        </w:rPr>
        <w:t xml:space="preserve"> земельних ділянок сільськогосподарського призначення державної власності до статутного капіт</w:t>
      </w:r>
      <w:r w:rsidR="00050D5F">
        <w:rPr>
          <w:sz w:val="24"/>
          <w:szCs w:val="24"/>
          <w:lang w:val="uk-UA"/>
        </w:rPr>
        <w:t>алу Державного земельного банку зможуть зловживати особи, наближені до членів Кабінету Міністрів України, з урахуванням того, що Кабінет Міністрів України не є суб’єктом відповідальності за корупційні правопорушення. Нехтування пріоритетністю земель сільськогосподарського використання може призвести до їх нераціонального використання.</w:t>
      </w:r>
    </w:p>
    <w:p w:rsidR="00CB2BFE" w:rsidRPr="00561153" w:rsidRDefault="008603A9" w:rsidP="00CB2BFE">
      <w:pPr>
        <w:spacing w:before="120" w:after="0" w:line="240" w:lineRule="auto"/>
        <w:jc w:val="both"/>
        <w:rPr>
          <w:sz w:val="24"/>
          <w:szCs w:val="24"/>
          <w:lang w:val="uk-UA"/>
        </w:rPr>
      </w:pPr>
      <w:r w:rsidRPr="00C63174">
        <w:rPr>
          <w:b/>
          <w:i/>
          <w:sz w:val="26"/>
          <w:szCs w:val="26"/>
          <w:lang w:val="uk-UA"/>
        </w:rPr>
        <w:t>Хто може потерпати від корупційної схеми:</w:t>
      </w:r>
      <w:r w:rsidRPr="009460CE">
        <w:rPr>
          <w:sz w:val="24"/>
          <w:szCs w:val="24"/>
          <w:lang w:val="uk-UA"/>
        </w:rPr>
        <w:t xml:space="preserve"> </w:t>
      </w:r>
      <w:r w:rsidR="00CB2BFE" w:rsidRPr="00561153">
        <w:rPr>
          <w:sz w:val="24"/>
          <w:szCs w:val="24"/>
          <w:lang w:val="uk-UA"/>
        </w:rPr>
        <w:t xml:space="preserve">громадяни </w:t>
      </w:r>
      <w:r w:rsidR="00CB2BFE">
        <w:rPr>
          <w:sz w:val="24"/>
          <w:szCs w:val="24"/>
          <w:lang w:val="uk-UA"/>
        </w:rPr>
        <w:t xml:space="preserve">та суспільство </w:t>
      </w:r>
      <w:r w:rsidR="00CB2BFE" w:rsidRPr="00561153">
        <w:rPr>
          <w:sz w:val="24"/>
          <w:szCs w:val="24"/>
          <w:lang w:val="uk-UA"/>
        </w:rPr>
        <w:t>України</w:t>
      </w:r>
      <w:r w:rsidR="00CB2BFE">
        <w:rPr>
          <w:sz w:val="24"/>
          <w:szCs w:val="24"/>
          <w:lang w:val="uk-UA"/>
        </w:rPr>
        <w:t>.</w:t>
      </w:r>
    </w:p>
    <w:p w:rsidR="008603A9" w:rsidRDefault="008603A9" w:rsidP="008603A9">
      <w:pPr>
        <w:pStyle w:val="1"/>
        <w:numPr>
          <w:ilvl w:val="0"/>
          <w:numId w:val="2"/>
        </w:numPr>
        <w:spacing w:before="120" w:after="0" w:line="240" w:lineRule="auto"/>
        <w:ind w:left="0" w:firstLine="0"/>
        <w:contextualSpacing w:val="0"/>
        <w:jc w:val="both"/>
        <w:rPr>
          <w:sz w:val="26"/>
          <w:szCs w:val="24"/>
          <w:lang w:val="uk-UA"/>
        </w:rPr>
      </w:pPr>
      <w:r w:rsidRPr="005D4B7A">
        <w:rPr>
          <w:b/>
          <w:sz w:val="26"/>
          <w:szCs w:val="24"/>
          <w:lang w:val="uk-UA"/>
        </w:rPr>
        <w:t>Висновки та рекомендації:</w:t>
      </w:r>
      <w:r w:rsidRPr="005D4B7A">
        <w:rPr>
          <w:sz w:val="26"/>
          <w:szCs w:val="24"/>
          <w:lang w:val="uk-UA"/>
        </w:rPr>
        <w:t xml:space="preserve"> </w:t>
      </w:r>
    </w:p>
    <w:p w:rsidR="00050D5F" w:rsidRDefault="00CB2BFE" w:rsidP="00050D5F">
      <w:pPr>
        <w:spacing w:before="120" w:after="0" w:line="240" w:lineRule="auto"/>
        <w:jc w:val="both"/>
        <w:rPr>
          <w:sz w:val="24"/>
          <w:szCs w:val="24"/>
          <w:lang w:val="uk-UA"/>
        </w:rPr>
      </w:pPr>
      <w:r w:rsidRPr="00CB2BFE">
        <w:rPr>
          <w:sz w:val="24"/>
          <w:szCs w:val="24"/>
          <w:lang w:val="uk-UA"/>
        </w:rPr>
        <w:t>У законопроекті виявлено корупційні ризики. Рекомендовано відхилити законопроект за результатами розгляду в першому читанні.</w:t>
      </w:r>
    </w:p>
    <w:p w:rsidR="008603A9" w:rsidRPr="00271BF1" w:rsidRDefault="008603A9" w:rsidP="008603A9">
      <w:pPr>
        <w:pBdr>
          <w:top w:val="single" w:sz="4" w:space="1" w:color="auto"/>
          <w:left w:val="single" w:sz="4" w:space="4" w:color="auto"/>
          <w:bottom w:val="single" w:sz="4" w:space="1" w:color="auto"/>
          <w:right w:val="single" w:sz="4" w:space="4" w:color="auto"/>
        </w:pBdr>
        <w:rPr>
          <w:b/>
          <w:sz w:val="26"/>
          <w:szCs w:val="26"/>
          <w:lang w:val="uk-UA"/>
        </w:rPr>
      </w:pPr>
      <w:r w:rsidRPr="00271BF1">
        <w:rPr>
          <w:b/>
          <w:sz w:val="26"/>
          <w:szCs w:val="26"/>
          <w:lang w:val="uk-UA"/>
        </w:rPr>
        <w:lastRenderedPageBreak/>
        <w:t>ІІ. Детальний виклад результатів громадської антикорупційної експертизи</w:t>
      </w:r>
    </w:p>
    <w:p w:rsidR="008603A9" w:rsidRDefault="008603A9" w:rsidP="008603A9">
      <w:pPr>
        <w:pStyle w:val="1"/>
        <w:numPr>
          <w:ilvl w:val="0"/>
          <w:numId w:val="2"/>
        </w:numPr>
        <w:spacing w:after="120" w:line="240" w:lineRule="auto"/>
        <w:ind w:left="714" w:hanging="357"/>
        <w:contextualSpacing w:val="0"/>
        <w:rPr>
          <w:b/>
          <w:sz w:val="24"/>
          <w:szCs w:val="24"/>
          <w:lang w:val="uk-UA"/>
        </w:rPr>
      </w:pPr>
      <w:r w:rsidRPr="001E2478">
        <w:rPr>
          <w:b/>
          <w:sz w:val="24"/>
          <w:szCs w:val="24"/>
          <w:lang w:val="uk-UA"/>
        </w:rPr>
        <w:t xml:space="preserve">Задекларована суть законопроекту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2"/>
        <w:gridCol w:w="4929"/>
      </w:tblGrid>
      <w:tr w:rsidR="008603A9" w:rsidRPr="00B9319E" w:rsidTr="002956A5">
        <w:tc>
          <w:tcPr>
            <w:tcW w:w="4642" w:type="dxa"/>
          </w:tcPr>
          <w:p w:rsidR="008603A9" w:rsidRPr="00B9319E" w:rsidRDefault="008603A9" w:rsidP="002956A5">
            <w:pPr>
              <w:spacing w:after="0" w:line="240" w:lineRule="auto"/>
              <w:jc w:val="center"/>
              <w:rPr>
                <w:b/>
                <w:i/>
                <w:sz w:val="24"/>
                <w:szCs w:val="24"/>
                <w:lang w:val="uk-UA"/>
              </w:rPr>
            </w:pPr>
            <w:r w:rsidRPr="00B9319E">
              <w:rPr>
                <w:b/>
                <w:i/>
                <w:sz w:val="24"/>
                <w:szCs w:val="24"/>
                <w:lang w:val="uk-UA"/>
              </w:rPr>
              <w:t>Ціль</w:t>
            </w:r>
          </w:p>
        </w:tc>
        <w:tc>
          <w:tcPr>
            <w:tcW w:w="4929" w:type="dxa"/>
          </w:tcPr>
          <w:p w:rsidR="008603A9" w:rsidRPr="00B9319E" w:rsidRDefault="008603A9" w:rsidP="002956A5">
            <w:pPr>
              <w:spacing w:after="0" w:line="240" w:lineRule="auto"/>
              <w:jc w:val="center"/>
              <w:rPr>
                <w:b/>
                <w:i/>
                <w:sz w:val="24"/>
                <w:szCs w:val="24"/>
                <w:lang w:val="uk-UA"/>
              </w:rPr>
            </w:pPr>
            <w:r w:rsidRPr="00B9319E">
              <w:rPr>
                <w:b/>
                <w:i/>
                <w:sz w:val="24"/>
                <w:szCs w:val="24"/>
                <w:lang w:val="uk-UA"/>
              </w:rPr>
              <w:t>Спосіб досягнення</w:t>
            </w:r>
          </w:p>
        </w:tc>
      </w:tr>
      <w:tr w:rsidR="008603A9" w:rsidRPr="00050D5F" w:rsidTr="002956A5">
        <w:tc>
          <w:tcPr>
            <w:tcW w:w="4642" w:type="dxa"/>
          </w:tcPr>
          <w:p w:rsidR="008603A9" w:rsidRPr="00AE24E2" w:rsidRDefault="00050D5F" w:rsidP="002956A5">
            <w:pPr>
              <w:spacing w:before="120" w:after="0" w:line="240" w:lineRule="auto"/>
              <w:jc w:val="both"/>
              <w:rPr>
                <w:sz w:val="24"/>
                <w:szCs w:val="24"/>
                <w:lang w:val="uk-UA"/>
              </w:rPr>
            </w:pPr>
            <w:r>
              <w:rPr>
                <w:sz w:val="24"/>
                <w:szCs w:val="24"/>
                <w:lang w:val="uk-UA" w:eastAsia="ru-RU"/>
              </w:rPr>
              <w:t>З</w:t>
            </w:r>
            <w:r w:rsidRPr="00EE66AA">
              <w:rPr>
                <w:sz w:val="24"/>
                <w:szCs w:val="24"/>
                <w:lang w:val="uk-UA" w:eastAsia="ru-RU"/>
              </w:rPr>
              <w:t>абезпечення повноцінного функціонування Держ</w:t>
            </w:r>
            <w:r>
              <w:rPr>
                <w:sz w:val="24"/>
                <w:szCs w:val="24"/>
                <w:lang w:val="uk-UA" w:eastAsia="ru-RU"/>
              </w:rPr>
              <w:t xml:space="preserve">авного </w:t>
            </w:r>
            <w:r w:rsidRPr="00EE66AA">
              <w:rPr>
                <w:sz w:val="24"/>
                <w:szCs w:val="24"/>
                <w:lang w:val="uk-UA" w:eastAsia="ru-RU"/>
              </w:rPr>
              <w:t>зем</w:t>
            </w:r>
            <w:r>
              <w:rPr>
                <w:sz w:val="24"/>
                <w:szCs w:val="24"/>
                <w:lang w:val="uk-UA" w:eastAsia="ru-RU"/>
              </w:rPr>
              <w:t xml:space="preserve">ельного </w:t>
            </w:r>
            <w:r w:rsidRPr="00EE66AA">
              <w:rPr>
                <w:sz w:val="24"/>
                <w:szCs w:val="24"/>
                <w:lang w:val="uk-UA" w:eastAsia="ru-RU"/>
              </w:rPr>
              <w:t>банку</w:t>
            </w:r>
            <w:r>
              <w:rPr>
                <w:sz w:val="24"/>
                <w:szCs w:val="24"/>
                <w:lang w:val="uk-UA" w:eastAsia="ru-RU"/>
              </w:rPr>
              <w:t>; більш ефективна реалізація</w:t>
            </w:r>
            <w:r w:rsidRPr="00EE66AA">
              <w:rPr>
                <w:sz w:val="24"/>
                <w:szCs w:val="24"/>
                <w:lang w:val="uk-UA" w:eastAsia="ru-RU"/>
              </w:rPr>
              <w:t xml:space="preserve"> державою програм економічного і соціального розвитку в сі</w:t>
            </w:r>
            <w:r>
              <w:rPr>
                <w:sz w:val="24"/>
                <w:szCs w:val="24"/>
                <w:lang w:val="uk-UA" w:eastAsia="ru-RU"/>
              </w:rPr>
              <w:t>льській місцевості, забезпечення</w:t>
            </w:r>
            <w:r w:rsidRPr="00EE66AA">
              <w:rPr>
                <w:sz w:val="24"/>
                <w:szCs w:val="24"/>
                <w:lang w:val="uk-UA" w:eastAsia="ru-RU"/>
              </w:rPr>
              <w:t xml:space="preserve"> прав власників земельних ділянок сільськогосподарського призначення, зокрема наданих для ведення товарного сільськогосподарського виробництва.</w:t>
            </w:r>
          </w:p>
        </w:tc>
        <w:tc>
          <w:tcPr>
            <w:tcW w:w="4929" w:type="dxa"/>
          </w:tcPr>
          <w:p w:rsidR="008603A9" w:rsidRPr="00AE24E2" w:rsidRDefault="00050D5F" w:rsidP="002956A5">
            <w:pPr>
              <w:tabs>
                <w:tab w:val="left" w:pos="700"/>
              </w:tabs>
              <w:spacing w:after="0" w:line="240" w:lineRule="auto"/>
              <w:jc w:val="both"/>
              <w:rPr>
                <w:sz w:val="24"/>
                <w:szCs w:val="24"/>
                <w:lang w:val="uk-UA"/>
              </w:rPr>
            </w:pPr>
            <w:r>
              <w:rPr>
                <w:rFonts w:cs="Arial"/>
                <w:sz w:val="24"/>
                <w:szCs w:val="24"/>
                <w:lang w:val="uk-UA"/>
              </w:rPr>
              <w:t xml:space="preserve">Шляхом внесення змін до Земельного Кодексу України та ЗУ «Про оцінку земель» встановлюється, що земельні ділянки сільськогосподарського призначення державної власності можуть передаватися </w:t>
            </w:r>
            <w:proofErr w:type="spellStart"/>
            <w:r>
              <w:rPr>
                <w:rFonts w:cs="Arial"/>
                <w:sz w:val="24"/>
                <w:szCs w:val="24"/>
                <w:lang w:val="uk-UA"/>
              </w:rPr>
              <w:t>Держзембанку</w:t>
            </w:r>
            <w:proofErr w:type="spellEnd"/>
            <w:r>
              <w:rPr>
                <w:rFonts w:cs="Arial"/>
                <w:sz w:val="24"/>
                <w:szCs w:val="24"/>
                <w:lang w:val="uk-UA"/>
              </w:rPr>
              <w:t xml:space="preserve"> для провадження його статутної діяльності. Законодавчо визначається право </w:t>
            </w:r>
            <w:proofErr w:type="spellStart"/>
            <w:r>
              <w:rPr>
                <w:sz w:val="24"/>
                <w:szCs w:val="24"/>
                <w:lang w:val="uk-UA"/>
              </w:rPr>
              <w:t>Держзем</w:t>
            </w:r>
            <w:r w:rsidRPr="00C81876">
              <w:rPr>
                <w:sz w:val="24"/>
                <w:szCs w:val="24"/>
                <w:lang w:val="uk-UA"/>
              </w:rPr>
              <w:t>банку</w:t>
            </w:r>
            <w:proofErr w:type="spellEnd"/>
            <w:r w:rsidRPr="00C81876">
              <w:rPr>
                <w:sz w:val="24"/>
                <w:szCs w:val="24"/>
                <w:lang w:val="uk-UA"/>
              </w:rPr>
              <w:t xml:space="preserve"> на земельні ділянки та порядок їх набуття, особливості передачі земельних ділянок сільськогосподарського призначення державної власності до його статутного капіталу.</w:t>
            </w:r>
            <w:r>
              <w:rPr>
                <w:sz w:val="24"/>
                <w:szCs w:val="24"/>
                <w:lang w:val="uk-UA"/>
              </w:rPr>
              <w:t xml:space="preserve"> Знімаються обмеження щодо </w:t>
            </w:r>
            <w:r w:rsidRPr="00C81876">
              <w:rPr>
                <w:sz w:val="24"/>
                <w:szCs w:val="24"/>
                <w:lang w:val="uk-UA"/>
              </w:rPr>
              <w:t>граничної площі земельних ділянок сільськогосподарського призначення державної власності, що можуть передаватись до статутного капіталу</w:t>
            </w:r>
            <w:r>
              <w:rPr>
                <w:sz w:val="24"/>
                <w:szCs w:val="24"/>
                <w:lang w:val="uk-UA"/>
              </w:rPr>
              <w:t xml:space="preserve"> банку.</w:t>
            </w:r>
          </w:p>
        </w:tc>
      </w:tr>
    </w:tbl>
    <w:p w:rsidR="008603A9" w:rsidRDefault="008603A9" w:rsidP="008603A9">
      <w:pPr>
        <w:pStyle w:val="1"/>
        <w:numPr>
          <w:ilvl w:val="0"/>
          <w:numId w:val="2"/>
        </w:numPr>
        <w:spacing w:before="120" w:after="120" w:line="240" w:lineRule="auto"/>
        <w:ind w:left="714" w:hanging="357"/>
        <w:contextualSpacing w:val="0"/>
        <w:rPr>
          <w:b/>
          <w:sz w:val="24"/>
          <w:szCs w:val="24"/>
          <w:lang w:val="uk-UA"/>
        </w:rPr>
      </w:pPr>
      <w:proofErr w:type="spellStart"/>
      <w:r w:rsidRPr="001E2478">
        <w:rPr>
          <w:b/>
          <w:sz w:val="24"/>
          <w:szCs w:val="24"/>
          <w:lang w:val="uk-UA"/>
        </w:rPr>
        <w:t>Корупціогенні</w:t>
      </w:r>
      <w:proofErr w:type="spellEnd"/>
      <w:r w:rsidRPr="001E2478">
        <w:rPr>
          <w:b/>
          <w:sz w:val="24"/>
          <w:szCs w:val="24"/>
          <w:lang w:val="uk-UA"/>
        </w:rPr>
        <w:t xml:space="preserve"> чинники та норм</w:t>
      </w:r>
    </w:p>
    <w:tbl>
      <w:tblPr>
        <w:tblW w:w="0" w:type="auto"/>
        <w:tblBorders>
          <w:top w:val="single" w:sz="8" w:space="0" w:color="000000"/>
          <w:bottom w:val="single" w:sz="8" w:space="0" w:color="000000"/>
        </w:tblBorders>
        <w:tblLook w:val="00A0"/>
      </w:tblPr>
      <w:tblGrid>
        <w:gridCol w:w="402"/>
        <w:gridCol w:w="6936"/>
        <w:gridCol w:w="2233"/>
      </w:tblGrid>
      <w:tr w:rsidR="008603A9" w:rsidRPr="00B9319E" w:rsidTr="002956A5">
        <w:tc>
          <w:tcPr>
            <w:tcW w:w="402" w:type="dxa"/>
            <w:tcBorders>
              <w:top w:val="single" w:sz="8" w:space="0" w:color="000000"/>
              <w:left w:val="nil"/>
              <w:bottom w:val="single" w:sz="8" w:space="0" w:color="000000"/>
              <w:right w:val="nil"/>
            </w:tcBorders>
          </w:tcPr>
          <w:p w:rsidR="008603A9" w:rsidRPr="00B9319E" w:rsidRDefault="008603A9" w:rsidP="002956A5">
            <w:pPr>
              <w:spacing w:after="0" w:line="240" w:lineRule="auto"/>
              <w:jc w:val="center"/>
              <w:rPr>
                <w:b/>
                <w:bCs/>
                <w:i/>
                <w:color w:val="000000"/>
                <w:sz w:val="24"/>
                <w:szCs w:val="24"/>
                <w:lang w:val="uk-UA"/>
              </w:rPr>
            </w:pPr>
          </w:p>
        </w:tc>
        <w:tc>
          <w:tcPr>
            <w:tcW w:w="6936" w:type="dxa"/>
            <w:tcBorders>
              <w:top w:val="single" w:sz="8" w:space="0" w:color="000000"/>
              <w:left w:val="nil"/>
              <w:bottom w:val="single" w:sz="8" w:space="0" w:color="000000"/>
              <w:right w:val="nil"/>
            </w:tcBorders>
          </w:tcPr>
          <w:p w:rsidR="008603A9" w:rsidRPr="00B9319E" w:rsidRDefault="008603A9" w:rsidP="002956A5">
            <w:pPr>
              <w:spacing w:after="0" w:line="240" w:lineRule="auto"/>
              <w:jc w:val="center"/>
              <w:rPr>
                <w:b/>
                <w:bCs/>
                <w:i/>
                <w:color w:val="000000"/>
                <w:sz w:val="24"/>
                <w:szCs w:val="24"/>
                <w:lang w:val="uk-UA"/>
              </w:rPr>
            </w:pPr>
            <w:proofErr w:type="spellStart"/>
            <w:r w:rsidRPr="00B9319E">
              <w:rPr>
                <w:b/>
                <w:bCs/>
                <w:i/>
                <w:color w:val="000000"/>
                <w:sz w:val="24"/>
                <w:szCs w:val="24"/>
                <w:lang w:val="uk-UA"/>
              </w:rPr>
              <w:t>Корупціогенний</w:t>
            </w:r>
            <w:proofErr w:type="spellEnd"/>
            <w:r w:rsidRPr="00B9319E">
              <w:rPr>
                <w:b/>
                <w:bCs/>
                <w:i/>
                <w:color w:val="000000"/>
                <w:sz w:val="24"/>
                <w:szCs w:val="24"/>
                <w:lang w:val="uk-UA"/>
              </w:rPr>
              <w:t xml:space="preserve"> чинник</w:t>
            </w:r>
          </w:p>
        </w:tc>
        <w:tc>
          <w:tcPr>
            <w:tcW w:w="2233" w:type="dxa"/>
            <w:tcBorders>
              <w:top w:val="single" w:sz="8" w:space="0" w:color="000000"/>
              <w:left w:val="nil"/>
              <w:bottom w:val="single" w:sz="8" w:space="0" w:color="000000"/>
              <w:right w:val="nil"/>
            </w:tcBorders>
          </w:tcPr>
          <w:p w:rsidR="008603A9" w:rsidRPr="00B9319E" w:rsidRDefault="008603A9" w:rsidP="002956A5">
            <w:pPr>
              <w:spacing w:after="0" w:line="240" w:lineRule="auto"/>
              <w:jc w:val="center"/>
              <w:rPr>
                <w:b/>
                <w:bCs/>
                <w:i/>
                <w:color w:val="000000"/>
                <w:sz w:val="24"/>
                <w:szCs w:val="24"/>
                <w:lang w:val="uk-UA"/>
              </w:rPr>
            </w:pPr>
            <w:r w:rsidRPr="00B9319E">
              <w:rPr>
                <w:b/>
                <w:bCs/>
                <w:i/>
                <w:color w:val="000000"/>
                <w:sz w:val="24"/>
                <w:szCs w:val="24"/>
                <w:lang w:val="uk-UA"/>
              </w:rPr>
              <w:t>Кількість норм</w:t>
            </w:r>
          </w:p>
        </w:tc>
      </w:tr>
      <w:tr w:rsidR="008603A9" w:rsidRPr="00B9319E" w:rsidTr="002956A5">
        <w:tc>
          <w:tcPr>
            <w:tcW w:w="402" w:type="dxa"/>
            <w:tcBorders>
              <w:left w:val="nil"/>
              <w:right w:val="nil"/>
            </w:tcBorders>
            <w:shd w:val="clear" w:color="auto" w:fill="C0C0C0"/>
          </w:tcPr>
          <w:p w:rsidR="008603A9" w:rsidRPr="00B9319E" w:rsidRDefault="008603A9" w:rsidP="002956A5">
            <w:pPr>
              <w:spacing w:after="0" w:line="240" w:lineRule="auto"/>
              <w:rPr>
                <w:b/>
                <w:bCs/>
                <w:color w:val="000000"/>
                <w:sz w:val="24"/>
                <w:szCs w:val="24"/>
                <w:lang w:val="uk-UA"/>
              </w:rPr>
            </w:pPr>
            <w:r w:rsidRPr="00B9319E">
              <w:rPr>
                <w:bCs/>
                <w:color w:val="000000"/>
                <w:sz w:val="24"/>
                <w:szCs w:val="24"/>
                <w:lang w:val="uk-UA"/>
              </w:rPr>
              <w:t>1.</w:t>
            </w:r>
          </w:p>
        </w:tc>
        <w:tc>
          <w:tcPr>
            <w:tcW w:w="6936" w:type="dxa"/>
            <w:tcBorders>
              <w:left w:val="nil"/>
              <w:right w:val="nil"/>
            </w:tcBorders>
            <w:shd w:val="clear" w:color="auto" w:fill="C0C0C0"/>
          </w:tcPr>
          <w:p w:rsidR="008603A9" w:rsidRPr="00B9319E" w:rsidRDefault="008603A9" w:rsidP="002956A5">
            <w:pPr>
              <w:spacing w:after="0" w:line="240" w:lineRule="auto"/>
              <w:rPr>
                <w:color w:val="000000"/>
                <w:sz w:val="24"/>
                <w:szCs w:val="24"/>
                <w:lang w:val="uk-UA"/>
              </w:rPr>
            </w:pPr>
            <w:r w:rsidRPr="00B9319E">
              <w:rPr>
                <w:color w:val="000000"/>
                <w:sz w:val="24"/>
                <w:szCs w:val="24"/>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p>
        </w:tc>
        <w:tc>
          <w:tcPr>
            <w:tcW w:w="2233" w:type="dxa"/>
            <w:tcBorders>
              <w:left w:val="nil"/>
              <w:right w:val="nil"/>
            </w:tcBorders>
            <w:shd w:val="clear" w:color="auto" w:fill="C0C0C0"/>
          </w:tcPr>
          <w:p w:rsidR="008603A9" w:rsidRPr="00B9319E" w:rsidRDefault="008603A9" w:rsidP="002956A5">
            <w:pPr>
              <w:spacing w:after="0" w:line="240" w:lineRule="auto"/>
              <w:jc w:val="center"/>
              <w:rPr>
                <w:color w:val="000000"/>
                <w:sz w:val="24"/>
                <w:szCs w:val="24"/>
                <w:lang w:val="uk-UA"/>
              </w:rPr>
            </w:pPr>
            <w:r>
              <w:rPr>
                <w:color w:val="000000"/>
                <w:sz w:val="24"/>
                <w:szCs w:val="24"/>
                <w:lang w:val="uk-UA"/>
              </w:rPr>
              <w:t>Не виявлено</w:t>
            </w:r>
          </w:p>
        </w:tc>
      </w:tr>
      <w:tr w:rsidR="008603A9" w:rsidRPr="00B9319E" w:rsidTr="002956A5">
        <w:tc>
          <w:tcPr>
            <w:tcW w:w="402" w:type="dxa"/>
          </w:tcPr>
          <w:p w:rsidR="008603A9" w:rsidRPr="00B9319E" w:rsidRDefault="008603A9" w:rsidP="002956A5">
            <w:pPr>
              <w:spacing w:after="0" w:line="240" w:lineRule="auto"/>
              <w:rPr>
                <w:b/>
                <w:bCs/>
                <w:color w:val="000000"/>
                <w:sz w:val="24"/>
                <w:szCs w:val="24"/>
                <w:lang w:val="uk-UA"/>
              </w:rPr>
            </w:pPr>
            <w:r w:rsidRPr="00B9319E">
              <w:rPr>
                <w:bCs/>
                <w:color w:val="000000"/>
                <w:sz w:val="24"/>
                <w:szCs w:val="24"/>
                <w:lang w:val="uk-UA"/>
              </w:rPr>
              <w:t>2.</w:t>
            </w:r>
          </w:p>
        </w:tc>
        <w:tc>
          <w:tcPr>
            <w:tcW w:w="6936" w:type="dxa"/>
          </w:tcPr>
          <w:p w:rsidR="008603A9" w:rsidRPr="00B9319E" w:rsidRDefault="008603A9" w:rsidP="002956A5">
            <w:pPr>
              <w:spacing w:after="0" w:line="240" w:lineRule="auto"/>
              <w:rPr>
                <w:color w:val="000000"/>
                <w:sz w:val="24"/>
                <w:szCs w:val="24"/>
                <w:lang w:val="uk-UA"/>
              </w:rPr>
            </w:pPr>
            <w:r w:rsidRPr="00B9319E">
              <w:rPr>
                <w:color w:val="000000"/>
                <w:sz w:val="24"/>
                <w:szCs w:val="24"/>
                <w:lang w:val="uk-UA"/>
              </w:rPr>
              <w:t>Порушення балансу інтересів та надмірні обтяження для одержувачів публічних послуг</w:t>
            </w:r>
          </w:p>
        </w:tc>
        <w:tc>
          <w:tcPr>
            <w:tcW w:w="2233" w:type="dxa"/>
          </w:tcPr>
          <w:p w:rsidR="008603A9" w:rsidRPr="009D73D3" w:rsidRDefault="009D73D3" w:rsidP="002956A5">
            <w:pPr>
              <w:spacing w:after="0" w:line="240" w:lineRule="auto"/>
              <w:jc w:val="center"/>
              <w:rPr>
                <w:color w:val="000000"/>
                <w:sz w:val="24"/>
                <w:szCs w:val="24"/>
                <w:lang w:val="uk-UA"/>
              </w:rPr>
            </w:pPr>
            <w:r w:rsidRPr="009D73D3">
              <w:rPr>
                <w:color w:val="000000"/>
                <w:sz w:val="24"/>
                <w:szCs w:val="24"/>
                <w:lang w:val="uk-UA"/>
              </w:rPr>
              <w:t xml:space="preserve">Не виявлено </w:t>
            </w:r>
          </w:p>
        </w:tc>
      </w:tr>
      <w:tr w:rsidR="008603A9" w:rsidRPr="00B9319E" w:rsidTr="002956A5">
        <w:tc>
          <w:tcPr>
            <w:tcW w:w="402" w:type="dxa"/>
            <w:tcBorders>
              <w:left w:val="nil"/>
              <w:right w:val="nil"/>
            </w:tcBorders>
            <w:shd w:val="clear" w:color="auto" w:fill="C0C0C0"/>
          </w:tcPr>
          <w:p w:rsidR="008603A9" w:rsidRPr="00B9319E" w:rsidRDefault="008603A9" w:rsidP="002956A5">
            <w:pPr>
              <w:spacing w:after="0" w:line="240" w:lineRule="auto"/>
              <w:rPr>
                <w:b/>
                <w:bCs/>
                <w:color w:val="000000"/>
                <w:sz w:val="24"/>
                <w:szCs w:val="24"/>
                <w:lang w:val="uk-UA"/>
              </w:rPr>
            </w:pPr>
            <w:r w:rsidRPr="00B9319E">
              <w:rPr>
                <w:bCs/>
                <w:color w:val="000000"/>
                <w:sz w:val="24"/>
                <w:szCs w:val="24"/>
                <w:lang w:val="uk-UA"/>
              </w:rPr>
              <w:t>3.</w:t>
            </w:r>
          </w:p>
        </w:tc>
        <w:tc>
          <w:tcPr>
            <w:tcW w:w="6936" w:type="dxa"/>
            <w:tcBorders>
              <w:left w:val="nil"/>
              <w:right w:val="nil"/>
            </w:tcBorders>
            <w:shd w:val="clear" w:color="auto" w:fill="C0C0C0"/>
          </w:tcPr>
          <w:p w:rsidR="008603A9" w:rsidRPr="00B9319E" w:rsidRDefault="008603A9" w:rsidP="002956A5">
            <w:pPr>
              <w:spacing w:after="0" w:line="240" w:lineRule="auto"/>
              <w:rPr>
                <w:color w:val="000000"/>
                <w:sz w:val="24"/>
                <w:szCs w:val="24"/>
                <w:lang w:val="uk-UA"/>
              </w:rPr>
            </w:pPr>
            <w:r w:rsidRPr="00B9319E">
              <w:rPr>
                <w:color w:val="000000"/>
                <w:sz w:val="24"/>
                <w:szCs w:val="24"/>
                <w:lang w:val="uk-UA"/>
              </w:rPr>
              <w:t>Прогалини правового регулювання</w:t>
            </w:r>
          </w:p>
        </w:tc>
        <w:tc>
          <w:tcPr>
            <w:tcW w:w="2233" w:type="dxa"/>
            <w:tcBorders>
              <w:left w:val="nil"/>
              <w:right w:val="nil"/>
            </w:tcBorders>
            <w:shd w:val="clear" w:color="auto" w:fill="C0C0C0"/>
          </w:tcPr>
          <w:p w:rsidR="008603A9" w:rsidRPr="009D73D3" w:rsidRDefault="009D73D3" w:rsidP="002956A5">
            <w:pPr>
              <w:spacing w:after="0" w:line="240" w:lineRule="auto"/>
              <w:jc w:val="center"/>
              <w:rPr>
                <w:color w:val="000000"/>
                <w:sz w:val="24"/>
                <w:szCs w:val="24"/>
                <w:lang w:val="uk-UA"/>
              </w:rPr>
            </w:pPr>
            <w:r w:rsidRPr="009D73D3">
              <w:rPr>
                <w:color w:val="000000"/>
                <w:sz w:val="24"/>
                <w:szCs w:val="24"/>
                <w:lang w:val="uk-UA"/>
              </w:rPr>
              <w:t xml:space="preserve">Не виявлено </w:t>
            </w:r>
          </w:p>
        </w:tc>
      </w:tr>
      <w:tr w:rsidR="008603A9" w:rsidRPr="00B9319E" w:rsidTr="002956A5">
        <w:tc>
          <w:tcPr>
            <w:tcW w:w="402" w:type="dxa"/>
          </w:tcPr>
          <w:p w:rsidR="008603A9" w:rsidRPr="00B9319E" w:rsidRDefault="008603A9" w:rsidP="002956A5">
            <w:pPr>
              <w:spacing w:after="0" w:line="240" w:lineRule="auto"/>
              <w:rPr>
                <w:b/>
                <w:bCs/>
                <w:color w:val="000000"/>
                <w:sz w:val="24"/>
                <w:szCs w:val="24"/>
                <w:lang w:val="uk-UA"/>
              </w:rPr>
            </w:pPr>
            <w:r w:rsidRPr="00B9319E">
              <w:rPr>
                <w:bCs/>
                <w:color w:val="000000"/>
                <w:sz w:val="24"/>
                <w:szCs w:val="24"/>
                <w:lang w:val="uk-UA"/>
              </w:rPr>
              <w:t>4.</w:t>
            </w:r>
          </w:p>
        </w:tc>
        <w:tc>
          <w:tcPr>
            <w:tcW w:w="6936" w:type="dxa"/>
          </w:tcPr>
          <w:p w:rsidR="008603A9" w:rsidRPr="00B9319E" w:rsidRDefault="008603A9" w:rsidP="002956A5">
            <w:pPr>
              <w:spacing w:after="0" w:line="240" w:lineRule="auto"/>
              <w:rPr>
                <w:color w:val="000000"/>
                <w:sz w:val="24"/>
                <w:szCs w:val="24"/>
                <w:lang w:val="uk-UA"/>
              </w:rPr>
            </w:pPr>
            <w:r w:rsidRPr="00B9319E">
              <w:rPr>
                <w:color w:val="000000"/>
                <w:sz w:val="24"/>
                <w:szCs w:val="24"/>
                <w:lang w:val="uk-UA"/>
              </w:rPr>
              <w:t>Колізії в законодавстві</w:t>
            </w:r>
          </w:p>
        </w:tc>
        <w:tc>
          <w:tcPr>
            <w:tcW w:w="2233" w:type="dxa"/>
          </w:tcPr>
          <w:p w:rsidR="008603A9" w:rsidRPr="00C4021F" w:rsidRDefault="009D73D3" w:rsidP="002956A5">
            <w:pPr>
              <w:spacing w:after="0" w:line="240" w:lineRule="auto"/>
              <w:jc w:val="center"/>
              <w:rPr>
                <w:b/>
                <w:color w:val="000000"/>
                <w:sz w:val="24"/>
                <w:szCs w:val="24"/>
                <w:lang w:val="uk-UA"/>
              </w:rPr>
            </w:pPr>
            <w:r>
              <w:rPr>
                <w:b/>
                <w:color w:val="000000"/>
                <w:sz w:val="24"/>
                <w:szCs w:val="24"/>
                <w:lang w:val="uk-UA"/>
              </w:rPr>
              <w:t>3</w:t>
            </w:r>
          </w:p>
        </w:tc>
      </w:tr>
      <w:tr w:rsidR="008603A9" w:rsidRPr="00B9319E" w:rsidTr="002956A5">
        <w:tc>
          <w:tcPr>
            <w:tcW w:w="402" w:type="dxa"/>
            <w:tcBorders>
              <w:left w:val="nil"/>
              <w:right w:val="nil"/>
            </w:tcBorders>
            <w:shd w:val="clear" w:color="auto" w:fill="C0C0C0"/>
          </w:tcPr>
          <w:p w:rsidR="008603A9" w:rsidRPr="00B9319E" w:rsidRDefault="008603A9" w:rsidP="002956A5">
            <w:pPr>
              <w:spacing w:after="0" w:line="240" w:lineRule="auto"/>
              <w:rPr>
                <w:b/>
                <w:bCs/>
                <w:color w:val="000000"/>
                <w:sz w:val="24"/>
                <w:szCs w:val="24"/>
                <w:lang w:val="uk-UA"/>
              </w:rPr>
            </w:pPr>
            <w:r w:rsidRPr="00B9319E">
              <w:rPr>
                <w:bCs/>
                <w:color w:val="000000"/>
                <w:sz w:val="24"/>
                <w:szCs w:val="24"/>
                <w:lang w:val="uk-UA"/>
              </w:rPr>
              <w:t>5.</w:t>
            </w:r>
          </w:p>
        </w:tc>
        <w:tc>
          <w:tcPr>
            <w:tcW w:w="6936" w:type="dxa"/>
            <w:tcBorders>
              <w:left w:val="nil"/>
              <w:right w:val="nil"/>
            </w:tcBorders>
            <w:shd w:val="clear" w:color="auto" w:fill="C0C0C0"/>
          </w:tcPr>
          <w:p w:rsidR="008603A9" w:rsidRPr="00B9319E" w:rsidRDefault="008603A9" w:rsidP="002956A5">
            <w:pPr>
              <w:spacing w:after="0" w:line="240" w:lineRule="auto"/>
              <w:rPr>
                <w:color w:val="000000"/>
                <w:sz w:val="24"/>
                <w:szCs w:val="24"/>
                <w:lang w:val="uk-UA"/>
              </w:rPr>
            </w:pPr>
            <w:r w:rsidRPr="00B9319E">
              <w:rPr>
                <w:color w:val="000000"/>
                <w:sz w:val="24"/>
                <w:szCs w:val="24"/>
                <w:lang w:val="uk-UA"/>
              </w:rPr>
              <w:t>Надмірна кількість контактів приватного сектору з органами влади, необхідних для виконання процедури</w:t>
            </w:r>
          </w:p>
        </w:tc>
        <w:tc>
          <w:tcPr>
            <w:tcW w:w="2233" w:type="dxa"/>
            <w:tcBorders>
              <w:left w:val="nil"/>
              <w:right w:val="nil"/>
            </w:tcBorders>
            <w:shd w:val="clear" w:color="auto" w:fill="C0C0C0"/>
          </w:tcPr>
          <w:p w:rsidR="008603A9" w:rsidRPr="00B9319E" w:rsidRDefault="008603A9" w:rsidP="002956A5">
            <w:pPr>
              <w:spacing w:after="0" w:line="240" w:lineRule="auto"/>
              <w:jc w:val="center"/>
              <w:rPr>
                <w:color w:val="000000"/>
                <w:sz w:val="24"/>
                <w:szCs w:val="24"/>
                <w:lang w:val="uk-UA"/>
              </w:rPr>
            </w:pPr>
            <w:r w:rsidRPr="00B9319E">
              <w:rPr>
                <w:color w:val="000000"/>
                <w:sz w:val="24"/>
                <w:szCs w:val="24"/>
                <w:lang w:val="uk-UA"/>
              </w:rPr>
              <w:t>Не виявлено</w:t>
            </w:r>
          </w:p>
        </w:tc>
      </w:tr>
      <w:tr w:rsidR="008603A9" w:rsidRPr="00B9319E" w:rsidTr="002956A5">
        <w:tc>
          <w:tcPr>
            <w:tcW w:w="402" w:type="dxa"/>
          </w:tcPr>
          <w:p w:rsidR="008603A9" w:rsidRPr="00B9319E" w:rsidRDefault="008603A9" w:rsidP="002956A5">
            <w:pPr>
              <w:spacing w:after="0" w:line="240" w:lineRule="auto"/>
              <w:rPr>
                <w:b/>
                <w:bCs/>
                <w:color w:val="000000"/>
                <w:sz w:val="24"/>
                <w:szCs w:val="24"/>
                <w:lang w:val="uk-UA"/>
              </w:rPr>
            </w:pPr>
            <w:r w:rsidRPr="00B9319E">
              <w:rPr>
                <w:bCs/>
                <w:color w:val="000000"/>
                <w:sz w:val="24"/>
                <w:szCs w:val="24"/>
                <w:lang w:val="uk-UA"/>
              </w:rPr>
              <w:t>6.</w:t>
            </w:r>
          </w:p>
        </w:tc>
        <w:tc>
          <w:tcPr>
            <w:tcW w:w="6936" w:type="dxa"/>
          </w:tcPr>
          <w:p w:rsidR="008603A9" w:rsidRPr="00B9319E" w:rsidRDefault="008603A9" w:rsidP="002956A5">
            <w:pPr>
              <w:spacing w:after="0" w:line="240" w:lineRule="auto"/>
              <w:rPr>
                <w:color w:val="000000"/>
                <w:sz w:val="24"/>
                <w:szCs w:val="24"/>
                <w:lang w:val="uk-UA"/>
              </w:rPr>
            </w:pPr>
            <w:r w:rsidRPr="00B9319E">
              <w:rPr>
                <w:color w:val="000000"/>
                <w:sz w:val="24"/>
                <w:szCs w:val="24"/>
                <w:lang w:val="uk-UA"/>
              </w:rPr>
              <w:t>Надмірна кількість органів влади, з якими має контакт приватний сектор згідно процедури</w:t>
            </w:r>
          </w:p>
        </w:tc>
        <w:tc>
          <w:tcPr>
            <w:tcW w:w="2233" w:type="dxa"/>
          </w:tcPr>
          <w:p w:rsidR="008603A9" w:rsidRPr="00B9319E" w:rsidRDefault="008603A9" w:rsidP="002956A5">
            <w:pPr>
              <w:spacing w:after="0" w:line="240" w:lineRule="auto"/>
              <w:jc w:val="center"/>
              <w:rPr>
                <w:color w:val="000000"/>
                <w:sz w:val="24"/>
                <w:szCs w:val="24"/>
                <w:lang w:val="uk-UA"/>
              </w:rPr>
            </w:pPr>
            <w:r w:rsidRPr="00B9319E">
              <w:rPr>
                <w:color w:val="000000"/>
                <w:sz w:val="24"/>
                <w:szCs w:val="24"/>
                <w:lang w:val="uk-UA"/>
              </w:rPr>
              <w:t>Не виявлено</w:t>
            </w:r>
          </w:p>
        </w:tc>
      </w:tr>
      <w:tr w:rsidR="008603A9" w:rsidRPr="00B9319E" w:rsidTr="002956A5">
        <w:tc>
          <w:tcPr>
            <w:tcW w:w="402" w:type="dxa"/>
            <w:tcBorders>
              <w:left w:val="nil"/>
              <w:right w:val="nil"/>
            </w:tcBorders>
            <w:shd w:val="clear" w:color="auto" w:fill="C0C0C0"/>
          </w:tcPr>
          <w:p w:rsidR="008603A9" w:rsidRPr="00B9319E" w:rsidRDefault="008603A9" w:rsidP="002956A5">
            <w:pPr>
              <w:spacing w:after="0" w:line="240" w:lineRule="auto"/>
              <w:rPr>
                <w:b/>
                <w:bCs/>
                <w:color w:val="000000"/>
                <w:sz w:val="24"/>
                <w:szCs w:val="24"/>
                <w:lang w:val="uk-UA"/>
              </w:rPr>
            </w:pPr>
            <w:r w:rsidRPr="00B9319E">
              <w:rPr>
                <w:bCs/>
                <w:color w:val="000000"/>
                <w:sz w:val="24"/>
                <w:szCs w:val="24"/>
                <w:lang w:val="uk-UA"/>
              </w:rPr>
              <w:t>7.</w:t>
            </w:r>
          </w:p>
        </w:tc>
        <w:tc>
          <w:tcPr>
            <w:tcW w:w="6936" w:type="dxa"/>
            <w:tcBorders>
              <w:left w:val="nil"/>
              <w:right w:val="nil"/>
            </w:tcBorders>
            <w:shd w:val="clear" w:color="auto" w:fill="C0C0C0"/>
          </w:tcPr>
          <w:p w:rsidR="008603A9" w:rsidRPr="00B9319E" w:rsidRDefault="008603A9" w:rsidP="002956A5">
            <w:pPr>
              <w:spacing w:after="0" w:line="240" w:lineRule="auto"/>
              <w:rPr>
                <w:color w:val="000000"/>
                <w:sz w:val="24"/>
                <w:szCs w:val="24"/>
                <w:lang w:val="uk-UA"/>
              </w:rPr>
            </w:pPr>
            <w:r w:rsidRPr="00B9319E">
              <w:rPr>
                <w:color w:val="000000"/>
                <w:sz w:val="24"/>
                <w:szCs w:val="24"/>
                <w:lang w:val="uk-UA"/>
              </w:rPr>
              <w:t>Поєднання нормотворчих та контролюючих функцій в одному органі влади</w:t>
            </w:r>
          </w:p>
        </w:tc>
        <w:tc>
          <w:tcPr>
            <w:tcW w:w="2233" w:type="dxa"/>
            <w:tcBorders>
              <w:left w:val="nil"/>
              <w:right w:val="nil"/>
            </w:tcBorders>
            <w:shd w:val="clear" w:color="auto" w:fill="C0C0C0"/>
          </w:tcPr>
          <w:p w:rsidR="008603A9" w:rsidRPr="00B9319E" w:rsidRDefault="008603A9" w:rsidP="002956A5">
            <w:pPr>
              <w:spacing w:after="0" w:line="240" w:lineRule="auto"/>
              <w:jc w:val="center"/>
              <w:rPr>
                <w:color w:val="000000"/>
                <w:sz w:val="24"/>
                <w:szCs w:val="24"/>
                <w:lang w:val="uk-UA"/>
              </w:rPr>
            </w:pPr>
            <w:r w:rsidRPr="00B9319E">
              <w:rPr>
                <w:color w:val="000000"/>
                <w:sz w:val="24"/>
                <w:szCs w:val="24"/>
                <w:lang w:val="uk-UA"/>
              </w:rPr>
              <w:t>Не виявлено</w:t>
            </w:r>
          </w:p>
        </w:tc>
      </w:tr>
      <w:tr w:rsidR="008603A9" w:rsidRPr="00B9319E" w:rsidTr="002956A5">
        <w:tc>
          <w:tcPr>
            <w:tcW w:w="402" w:type="dxa"/>
            <w:tcBorders>
              <w:bottom w:val="single" w:sz="8" w:space="0" w:color="000000"/>
            </w:tcBorders>
          </w:tcPr>
          <w:p w:rsidR="008603A9" w:rsidRPr="00FC515C" w:rsidRDefault="008603A9" w:rsidP="002956A5">
            <w:pPr>
              <w:spacing w:after="0" w:line="240" w:lineRule="auto"/>
              <w:rPr>
                <w:bCs/>
                <w:color w:val="000000"/>
                <w:sz w:val="24"/>
                <w:szCs w:val="24"/>
                <w:lang w:val="uk-UA"/>
              </w:rPr>
            </w:pPr>
            <w:r w:rsidRPr="00FC515C">
              <w:rPr>
                <w:bCs/>
                <w:color w:val="000000"/>
                <w:sz w:val="24"/>
                <w:szCs w:val="24"/>
                <w:lang w:val="uk-UA"/>
              </w:rPr>
              <w:t>8.</w:t>
            </w:r>
          </w:p>
        </w:tc>
        <w:tc>
          <w:tcPr>
            <w:tcW w:w="6936" w:type="dxa"/>
            <w:tcBorders>
              <w:bottom w:val="single" w:sz="8" w:space="0" w:color="000000"/>
            </w:tcBorders>
          </w:tcPr>
          <w:p w:rsidR="008603A9" w:rsidRPr="00B9319E" w:rsidRDefault="008603A9" w:rsidP="002956A5">
            <w:pPr>
              <w:spacing w:after="0" w:line="240" w:lineRule="auto"/>
              <w:rPr>
                <w:color w:val="000000"/>
                <w:sz w:val="24"/>
                <w:szCs w:val="24"/>
                <w:lang w:val="uk-UA"/>
              </w:rPr>
            </w:pPr>
            <w:r w:rsidRPr="00075FCC">
              <w:rPr>
                <w:rFonts w:cs="Arial"/>
                <w:color w:val="000000"/>
                <w:sz w:val="24"/>
                <w:szCs w:val="24"/>
                <w:lang w:val="uk-UA" w:eastAsia="ru-RU"/>
              </w:rPr>
              <w:t>Конфлікт інтересів ініціаторів законопроекту, що може призвести до отримання неправомірної вигоди</w:t>
            </w:r>
          </w:p>
        </w:tc>
        <w:tc>
          <w:tcPr>
            <w:tcW w:w="2233" w:type="dxa"/>
            <w:tcBorders>
              <w:bottom w:val="single" w:sz="8" w:space="0" w:color="000000"/>
            </w:tcBorders>
          </w:tcPr>
          <w:p w:rsidR="008603A9" w:rsidRPr="00FC515C" w:rsidRDefault="008603A9" w:rsidP="002956A5">
            <w:pPr>
              <w:spacing w:after="0" w:line="240" w:lineRule="auto"/>
              <w:jc w:val="center"/>
              <w:rPr>
                <w:color w:val="000000"/>
                <w:sz w:val="24"/>
                <w:szCs w:val="24"/>
                <w:lang w:val="uk-UA"/>
              </w:rPr>
            </w:pPr>
            <w:r w:rsidRPr="00FC515C">
              <w:rPr>
                <w:color w:val="000000"/>
                <w:sz w:val="24"/>
                <w:szCs w:val="24"/>
                <w:lang w:val="uk-UA"/>
              </w:rPr>
              <w:t>Не виявлено</w:t>
            </w:r>
          </w:p>
        </w:tc>
      </w:tr>
      <w:tr w:rsidR="008603A9" w:rsidRPr="00B9319E" w:rsidTr="002956A5">
        <w:tc>
          <w:tcPr>
            <w:tcW w:w="402" w:type="dxa"/>
            <w:tcBorders>
              <w:bottom w:val="single" w:sz="8" w:space="0" w:color="000000"/>
            </w:tcBorders>
          </w:tcPr>
          <w:p w:rsidR="008603A9" w:rsidRPr="00B9319E" w:rsidRDefault="008603A9" w:rsidP="002956A5">
            <w:pPr>
              <w:spacing w:after="0" w:line="240" w:lineRule="auto"/>
              <w:rPr>
                <w:b/>
                <w:bCs/>
                <w:color w:val="000000"/>
                <w:sz w:val="24"/>
                <w:szCs w:val="24"/>
                <w:lang w:val="uk-UA"/>
              </w:rPr>
            </w:pPr>
          </w:p>
        </w:tc>
        <w:tc>
          <w:tcPr>
            <w:tcW w:w="6936" w:type="dxa"/>
            <w:tcBorders>
              <w:bottom w:val="single" w:sz="8" w:space="0" w:color="000000"/>
            </w:tcBorders>
          </w:tcPr>
          <w:p w:rsidR="008603A9" w:rsidRPr="00B9319E" w:rsidRDefault="008603A9" w:rsidP="002956A5">
            <w:pPr>
              <w:spacing w:after="0" w:line="240" w:lineRule="auto"/>
              <w:rPr>
                <w:color w:val="000000"/>
                <w:sz w:val="24"/>
                <w:szCs w:val="24"/>
                <w:lang w:val="uk-UA"/>
              </w:rPr>
            </w:pPr>
            <w:r w:rsidRPr="00B9319E">
              <w:rPr>
                <w:color w:val="000000"/>
                <w:sz w:val="24"/>
                <w:szCs w:val="24"/>
                <w:lang w:val="uk-UA"/>
              </w:rPr>
              <w:t>Всього</w:t>
            </w:r>
          </w:p>
        </w:tc>
        <w:tc>
          <w:tcPr>
            <w:tcW w:w="2233" w:type="dxa"/>
            <w:tcBorders>
              <w:bottom w:val="single" w:sz="8" w:space="0" w:color="000000"/>
            </w:tcBorders>
          </w:tcPr>
          <w:p w:rsidR="008603A9" w:rsidRPr="00B9319E" w:rsidRDefault="009D73D3" w:rsidP="002956A5">
            <w:pPr>
              <w:spacing w:after="0" w:line="240" w:lineRule="auto"/>
              <w:jc w:val="center"/>
              <w:rPr>
                <w:b/>
                <w:color w:val="000000"/>
                <w:sz w:val="24"/>
                <w:szCs w:val="24"/>
                <w:lang w:val="uk-UA"/>
              </w:rPr>
            </w:pPr>
            <w:r>
              <w:rPr>
                <w:b/>
                <w:color w:val="000000"/>
                <w:sz w:val="24"/>
                <w:szCs w:val="24"/>
                <w:lang w:val="uk-UA"/>
              </w:rPr>
              <w:t>3</w:t>
            </w:r>
          </w:p>
        </w:tc>
      </w:tr>
    </w:tbl>
    <w:p w:rsidR="008603A9" w:rsidRDefault="008603A9" w:rsidP="008603A9">
      <w:pPr>
        <w:pStyle w:val="1"/>
        <w:numPr>
          <w:ilvl w:val="0"/>
          <w:numId w:val="2"/>
        </w:numPr>
        <w:spacing w:before="120" w:after="120" w:line="240" w:lineRule="auto"/>
        <w:ind w:left="714" w:hanging="357"/>
        <w:contextualSpacing w:val="0"/>
        <w:rPr>
          <w:b/>
          <w:sz w:val="24"/>
          <w:szCs w:val="24"/>
          <w:lang w:val="uk-UA"/>
        </w:rPr>
      </w:pPr>
      <w:r w:rsidRPr="001E2478">
        <w:rPr>
          <w:b/>
          <w:sz w:val="24"/>
          <w:szCs w:val="24"/>
          <w:lang w:val="uk-UA"/>
        </w:rPr>
        <w:t>Ключові наслідки</w:t>
      </w:r>
    </w:p>
    <w:tbl>
      <w:tblPr>
        <w:tblStyle w:val="a6"/>
        <w:tblW w:w="0" w:type="auto"/>
        <w:tblLook w:val="04A0"/>
      </w:tblPr>
      <w:tblGrid>
        <w:gridCol w:w="3190"/>
        <w:gridCol w:w="3190"/>
        <w:gridCol w:w="3190"/>
      </w:tblGrid>
      <w:tr w:rsidR="008603A9" w:rsidTr="002956A5">
        <w:tc>
          <w:tcPr>
            <w:tcW w:w="3190" w:type="dxa"/>
          </w:tcPr>
          <w:p w:rsidR="008603A9" w:rsidRPr="00B9319E" w:rsidRDefault="008603A9" w:rsidP="002956A5">
            <w:pPr>
              <w:jc w:val="center"/>
              <w:rPr>
                <w:sz w:val="24"/>
                <w:szCs w:val="24"/>
                <w:lang w:val="uk-UA"/>
              </w:rPr>
            </w:pPr>
            <w:r w:rsidRPr="00B9319E">
              <w:rPr>
                <w:sz w:val="24"/>
                <w:szCs w:val="24"/>
                <w:lang w:val="uk-UA"/>
              </w:rPr>
              <w:t>Стаття законопроекту</w:t>
            </w:r>
          </w:p>
        </w:tc>
        <w:tc>
          <w:tcPr>
            <w:tcW w:w="3190" w:type="dxa"/>
          </w:tcPr>
          <w:p w:rsidR="008603A9" w:rsidRPr="00B9319E" w:rsidRDefault="008603A9" w:rsidP="002956A5">
            <w:pPr>
              <w:jc w:val="center"/>
              <w:rPr>
                <w:sz w:val="24"/>
                <w:szCs w:val="24"/>
                <w:lang w:val="uk-UA"/>
              </w:rPr>
            </w:pPr>
            <w:proofErr w:type="spellStart"/>
            <w:r w:rsidRPr="00B9319E">
              <w:rPr>
                <w:sz w:val="24"/>
                <w:szCs w:val="24"/>
                <w:lang w:val="uk-UA"/>
              </w:rPr>
              <w:t>Корупціогенний</w:t>
            </w:r>
            <w:proofErr w:type="spellEnd"/>
            <w:r w:rsidRPr="00B9319E">
              <w:rPr>
                <w:sz w:val="24"/>
                <w:szCs w:val="24"/>
                <w:lang w:val="uk-UA"/>
              </w:rPr>
              <w:t xml:space="preserve"> чинник</w:t>
            </w:r>
          </w:p>
        </w:tc>
        <w:tc>
          <w:tcPr>
            <w:tcW w:w="3190" w:type="dxa"/>
          </w:tcPr>
          <w:p w:rsidR="008603A9" w:rsidRPr="00B9319E" w:rsidRDefault="008603A9" w:rsidP="002956A5">
            <w:pPr>
              <w:jc w:val="center"/>
              <w:rPr>
                <w:sz w:val="24"/>
                <w:szCs w:val="24"/>
                <w:lang w:val="uk-UA"/>
              </w:rPr>
            </w:pPr>
            <w:r w:rsidRPr="00B9319E">
              <w:rPr>
                <w:sz w:val="24"/>
                <w:szCs w:val="24"/>
                <w:lang w:val="uk-UA"/>
              </w:rPr>
              <w:t>Наслідок</w:t>
            </w:r>
          </w:p>
        </w:tc>
      </w:tr>
      <w:tr w:rsidR="00A608A3" w:rsidTr="002956A5">
        <w:tc>
          <w:tcPr>
            <w:tcW w:w="3190" w:type="dxa"/>
          </w:tcPr>
          <w:p w:rsidR="00A608A3" w:rsidRPr="006F3BEB" w:rsidRDefault="00A608A3" w:rsidP="002956A5">
            <w:pPr>
              <w:rPr>
                <w:rFonts w:cs="Arial"/>
                <w:sz w:val="24"/>
                <w:szCs w:val="24"/>
                <w:lang w:val="uk-UA"/>
              </w:rPr>
            </w:pPr>
            <w:r w:rsidRPr="006F3BEB">
              <w:rPr>
                <w:sz w:val="24"/>
                <w:szCs w:val="24"/>
                <w:lang w:val="uk-UA"/>
              </w:rPr>
              <w:t>Частина перша статті 20 З</w:t>
            </w:r>
            <w:r w:rsidR="00AD21BD">
              <w:rPr>
                <w:sz w:val="24"/>
                <w:szCs w:val="24"/>
                <w:lang w:val="uk-UA"/>
              </w:rPr>
              <w:t xml:space="preserve">емельного </w:t>
            </w:r>
            <w:r w:rsidRPr="006F3BEB">
              <w:rPr>
                <w:sz w:val="24"/>
                <w:szCs w:val="24"/>
                <w:lang w:val="uk-UA"/>
              </w:rPr>
              <w:t>К</w:t>
            </w:r>
            <w:r w:rsidR="00AD21BD">
              <w:rPr>
                <w:sz w:val="24"/>
                <w:szCs w:val="24"/>
                <w:lang w:val="uk-UA"/>
              </w:rPr>
              <w:t>одексу</w:t>
            </w:r>
            <w:r w:rsidRPr="006F3BEB">
              <w:rPr>
                <w:sz w:val="24"/>
                <w:szCs w:val="24"/>
                <w:lang w:val="uk-UA"/>
              </w:rPr>
              <w:t xml:space="preserve"> України в запропонованій редакції</w:t>
            </w:r>
          </w:p>
        </w:tc>
        <w:tc>
          <w:tcPr>
            <w:tcW w:w="3190" w:type="dxa"/>
          </w:tcPr>
          <w:p w:rsidR="00A608A3" w:rsidRPr="007808EF" w:rsidRDefault="00A608A3" w:rsidP="002956A5">
            <w:pPr>
              <w:jc w:val="both"/>
              <w:rPr>
                <w:sz w:val="24"/>
                <w:szCs w:val="24"/>
                <w:lang w:val="uk-UA"/>
              </w:rPr>
            </w:pPr>
            <w:r w:rsidRPr="00A608A3">
              <w:rPr>
                <w:sz w:val="24"/>
                <w:szCs w:val="24"/>
                <w:lang w:val="uk-UA"/>
              </w:rPr>
              <w:t xml:space="preserve">Зміни до частини першої статті 20 ЗК України, згідно з якими «визначення виду використання земельних ділянок в межах певної категорії земель </w:t>
            </w:r>
            <w:r w:rsidRPr="00A608A3">
              <w:rPr>
                <w:sz w:val="24"/>
                <w:szCs w:val="24"/>
                <w:lang w:val="uk-UA"/>
              </w:rPr>
              <w:lastRenderedPageBreak/>
              <w:t xml:space="preserve">здійснюється при їх формуванні», суперечать статті 79-1 ЗК України, яка визначає, що формування земельної ділянки полягає у визначенні земельної ділянки як об'єкта цивільних прав, що передбачає визначення її площі, меж та внесення інформації про неї до Державного земельного кадастру. </w:t>
            </w:r>
            <w:r w:rsidRPr="00EE66AA">
              <w:rPr>
                <w:sz w:val="24"/>
                <w:szCs w:val="24"/>
              </w:rPr>
              <w:t xml:space="preserve">Тобто «вид використання земельних ділянок в межах певної категорії земель» на момент «формування» земельних ділянок вже має бути </w:t>
            </w:r>
            <w:proofErr w:type="gramStart"/>
            <w:r w:rsidRPr="00EE66AA">
              <w:rPr>
                <w:sz w:val="24"/>
                <w:szCs w:val="24"/>
              </w:rPr>
              <w:t>ч</w:t>
            </w:r>
            <w:proofErr w:type="gramEnd"/>
            <w:r w:rsidRPr="00EE66AA">
              <w:rPr>
                <w:sz w:val="24"/>
                <w:szCs w:val="24"/>
              </w:rPr>
              <w:t xml:space="preserve">ітко визначеним. </w:t>
            </w:r>
            <w:r>
              <w:rPr>
                <w:sz w:val="24"/>
                <w:szCs w:val="24"/>
              </w:rPr>
              <w:t xml:space="preserve">Щодо </w:t>
            </w:r>
            <w:r w:rsidRPr="00EE66AA">
              <w:rPr>
                <w:sz w:val="24"/>
                <w:szCs w:val="24"/>
              </w:rPr>
              <w:t>земель сільськогосподарськ</w:t>
            </w:r>
            <w:r>
              <w:rPr>
                <w:sz w:val="24"/>
                <w:szCs w:val="24"/>
              </w:rPr>
              <w:t>ого призначення</w:t>
            </w:r>
            <w:r w:rsidRPr="00EE66AA">
              <w:rPr>
                <w:sz w:val="24"/>
                <w:szCs w:val="24"/>
              </w:rPr>
              <w:t xml:space="preserve">, </w:t>
            </w:r>
            <w:r>
              <w:rPr>
                <w:sz w:val="24"/>
                <w:szCs w:val="24"/>
              </w:rPr>
              <w:t xml:space="preserve">ст. 23 ЗК України встановлює їх </w:t>
            </w:r>
            <w:proofErr w:type="gramStart"/>
            <w:r>
              <w:rPr>
                <w:sz w:val="24"/>
                <w:szCs w:val="24"/>
              </w:rPr>
              <w:t>пр</w:t>
            </w:r>
            <w:proofErr w:type="gramEnd"/>
            <w:r>
              <w:rPr>
                <w:sz w:val="24"/>
                <w:szCs w:val="24"/>
              </w:rPr>
              <w:t xml:space="preserve">іоритетність, а також </w:t>
            </w:r>
            <w:r w:rsidRPr="00EE66AA">
              <w:rPr>
                <w:sz w:val="24"/>
                <w:szCs w:val="24"/>
              </w:rPr>
              <w:t>абз. 2 ч. 5 ст. 20</w:t>
            </w:r>
            <w:r>
              <w:rPr>
                <w:sz w:val="24"/>
                <w:szCs w:val="24"/>
              </w:rPr>
              <w:t xml:space="preserve"> </w:t>
            </w:r>
            <w:r w:rsidRPr="00EE66AA">
              <w:rPr>
                <w:sz w:val="24"/>
                <w:szCs w:val="24"/>
              </w:rPr>
              <w:t>визначає, що такі землі «використовуються їх власниками або користувачами виключно в межах вимог щодо користування землями певного виду використання, встановлених ст</w:t>
            </w:r>
            <w:r>
              <w:rPr>
                <w:sz w:val="24"/>
                <w:szCs w:val="24"/>
              </w:rPr>
              <w:t>аттями 31, 33-37 цього Кодексу».</w:t>
            </w:r>
          </w:p>
        </w:tc>
        <w:tc>
          <w:tcPr>
            <w:tcW w:w="3190" w:type="dxa"/>
          </w:tcPr>
          <w:p w:rsidR="00A608A3" w:rsidRPr="00B034A1" w:rsidRDefault="00A608A3" w:rsidP="002956A5">
            <w:pPr>
              <w:rPr>
                <w:sz w:val="24"/>
                <w:szCs w:val="24"/>
                <w:lang w:val="uk-UA"/>
              </w:rPr>
            </w:pPr>
            <w:r w:rsidRPr="00B034A1">
              <w:rPr>
                <w:sz w:val="24"/>
                <w:szCs w:val="24"/>
                <w:lang w:val="uk-UA"/>
              </w:rPr>
              <w:lastRenderedPageBreak/>
              <w:t xml:space="preserve">Створення колізій в законодавстві, що призводить до порушення принципу визначеності правового регулювання та може бути використане </w:t>
            </w:r>
            <w:r w:rsidRPr="00B034A1">
              <w:rPr>
                <w:sz w:val="24"/>
                <w:szCs w:val="24"/>
                <w:lang w:val="uk-UA"/>
              </w:rPr>
              <w:lastRenderedPageBreak/>
              <w:t>заінтересованими особами з метою отримання неправомірної вигоди.</w:t>
            </w:r>
          </w:p>
          <w:p w:rsidR="00A608A3" w:rsidRPr="00561153" w:rsidRDefault="00A608A3" w:rsidP="002956A5">
            <w:pPr>
              <w:jc w:val="both"/>
              <w:rPr>
                <w:rFonts w:cs="Arial"/>
                <w:sz w:val="24"/>
                <w:szCs w:val="24"/>
                <w:lang w:val="uk-UA"/>
              </w:rPr>
            </w:pPr>
          </w:p>
        </w:tc>
      </w:tr>
      <w:tr w:rsidR="00C15DB8" w:rsidTr="002956A5">
        <w:tc>
          <w:tcPr>
            <w:tcW w:w="3190" w:type="dxa"/>
          </w:tcPr>
          <w:p w:rsidR="00C15DB8" w:rsidRPr="006F3BEB" w:rsidRDefault="00C15DB8" w:rsidP="002956A5">
            <w:pPr>
              <w:rPr>
                <w:sz w:val="24"/>
                <w:szCs w:val="24"/>
                <w:lang w:val="uk-UA"/>
              </w:rPr>
            </w:pPr>
            <w:r>
              <w:rPr>
                <w:sz w:val="24"/>
                <w:szCs w:val="24"/>
                <w:lang w:val="uk-UA"/>
              </w:rPr>
              <w:lastRenderedPageBreak/>
              <w:t xml:space="preserve">Запропонований пункт «д» </w:t>
            </w:r>
            <w:r w:rsidRPr="006F3BEB">
              <w:rPr>
                <w:sz w:val="24"/>
                <w:szCs w:val="24"/>
                <w:lang w:val="uk-UA"/>
              </w:rPr>
              <w:t>частини третьої статті 22 З</w:t>
            </w:r>
            <w:r w:rsidR="00AD21BD">
              <w:rPr>
                <w:sz w:val="24"/>
                <w:szCs w:val="24"/>
                <w:lang w:val="uk-UA"/>
              </w:rPr>
              <w:t xml:space="preserve">емельного </w:t>
            </w:r>
            <w:r w:rsidRPr="006F3BEB">
              <w:rPr>
                <w:sz w:val="24"/>
                <w:szCs w:val="24"/>
                <w:lang w:val="uk-UA"/>
              </w:rPr>
              <w:t>К</w:t>
            </w:r>
            <w:r w:rsidR="00AD21BD">
              <w:rPr>
                <w:sz w:val="24"/>
                <w:szCs w:val="24"/>
                <w:lang w:val="uk-UA"/>
              </w:rPr>
              <w:t>одексу</w:t>
            </w:r>
            <w:r w:rsidRPr="006F3BEB">
              <w:rPr>
                <w:sz w:val="24"/>
                <w:szCs w:val="24"/>
                <w:lang w:val="uk-UA"/>
              </w:rPr>
              <w:t xml:space="preserve"> України</w:t>
            </w:r>
          </w:p>
        </w:tc>
        <w:tc>
          <w:tcPr>
            <w:tcW w:w="3190" w:type="dxa"/>
          </w:tcPr>
          <w:p w:rsidR="00C15DB8" w:rsidRPr="00A8140A" w:rsidRDefault="00C15DB8" w:rsidP="002956A5">
            <w:pPr>
              <w:pStyle w:val="a8"/>
              <w:rPr>
                <w:rFonts w:ascii="Calibri" w:hAnsi="Calibri"/>
                <w:color w:val="000000"/>
                <w:sz w:val="24"/>
                <w:szCs w:val="24"/>
              </w:rPr>
            </w:pPr>
            <w:r>
              <w:rPr>
                <w:rFonts w:ascii="Calibri" w:hAnsi="Calibri"/>
                <w:sz w:val="24"/>
                <w:szCs w:val="24"/>
              </w:rPr>
              <w:t>За змістом нового пункту</w:t>
            </w:r>
            <w:r w:rsidRPr="00E721C7">
              <w:rPr>
                <w:rFonts w:ascii="Calibri" w:hAnsi="Calibri"/>
                <w:sz w:val="24"/>
                <w:szCs w:val="24"/>
              </w:rPr>
              <w:t xml:space="preserve"> «д»</w:t>
            </w:r>
            <w:r>
              <w:rPr>
                <w:rFonts w:ascii="Calibri" w:hAnsi="Calibri"/>
                <w:sz w:val="24"/>
                <w:szCs w:val="24"/>
              </w:rPr>
              <w:t xml:space="preserve"> частини третьої</w:t>
            </w:r>
            <w:r w:rsidRPr="00E721C7">
              <w:rPr>
                <w:rFonts w:ascii="Calibri" w:hAnsi="Calibri"/>
                <w:sz w:val="24"/>
                <w:szCs w:val="24"/>
              </w:rPr>
              <w:t xml:space="preserve"> статті</w:t>
            </w:r>
            <w:r>
              <w:rPr>
                <w:rFonts w:ascii="Calibri" w:hAnsi="Calibri"/>
                <w:sz w:val="24"/>
                <w:szCs w:val="24"/>
              </w:rPr>
              <w:t xml:space="preserve"> 22 ЗК України </w:t>
            </w:r>
            <w:r w:rsidRPr="00E721C7">
              <w:rPr>
                <w:rFonts w:ascii="Calibri" w:hAnsi="Calibri"/>
                <w:sz w:val="24"/>
                <w:szCs w:val="24"/>
              </w:rPr>
              <w:t>землі сільськогосподарського призначення мож</w:t>
            </w:r>
            <w:r>
              <w:rPr>
                <w:rFonts w:ascii="Calibri" w:hAnsi="Calibri"/>
                <w:sz w:val="24"/>
                <w:szCs w:val="24"/>
              </w:rPr>
              <w:t>уть передаватися Державному земе</w:t>
            </w:r>
            <w:r w:rsidRPr="00E721C7">
              <w:rPr>
                <w:rFonts w:ascii="Calibri" w:hAnsi="Calibri"/>
                <w:sz w:val="24"/>
                <w:szCs w:val="24"/>
              </w:rPr>
              <w:t>льному банку «для провадж</w:t>
            </w:r>
            <w:r>
              <w:rPr>
                <w:rFonts w:ascii="Calibri" w:hAnsi="Calibri"/>
                <w:sz w:val="24"/>
                <w:szCs w:val="24"/>
              </w:rPr>
              <w:t>ення ним статутної діяльності». Проте в частині першій</w:t>
            </w:r>
            <w:r w:rsidRPr="00E721C7">
              <w:rPr>
                <w:rFonts w:ascii="Calibri" w:hAnsi="Calibri"/>
                <w:sz w:val="24"/>
                <w:szCs w:val="24"/>
              </w:rPr>
              <w:t xml:space="preserve"> статті 23 ЗК України</w:t>
            </w:r>
            <w:r>
              <w:rPr>
                <w:rFonts w:ascii="Calibri" w:hAnsi="Calibri"/>
                <w:sz w:val="24"/>
                <w:szCs w:val="24"/>
              </w:rPr>
              <w:t xml:space="preserve"> зазначається, що</w:t>
            </w:r>
            <w:r w:rsidRPr="00E721C7">
              <w:rPr>
                <w:rFonts w:ascii="Calibri" w:hAnsi="Calibri"/>
                <w:sz w:val="24"/>
                <w:szCs w:val="24"/>
              </w:rPr>
              <w:t xml:space="preserve"> «землі, придатні для потреб сільського господарства, повинні надаватися насамперед для сільськогос</w:t>
            </w:r>
            <w:r>
              <w:rPr>
                <w:rFonts w:ascii="Calibri" w:hAnsi="Calibri"/>
                <w:sz w:val="24"/>
                <w:szCs w:val="24"/>
              </w:rPr>
              <w:t>подарського використання». Це означає</w:t>
            </w:r>
            <w:r w:rsidRPr="00E721C7">
              <w:rPr>
                <w:rFonts w:ascii="Calibri" w:hAnsi="Calibri"/>
                <w:sz w:val="24"/>
                <w:szCs w:val="24"/>
              </w:rPr>
              <w:t>,</w:t>
            </w:r>
            <w:r>
              <w:rPr>
                <w:rFonts w:ascii="Calibri" w:hAnsi="Calibri"/>
                <w:sz w:val="24"/>
                <w:szCs w:val="24"/>
              </w:rPr>
              <w:t xml:space="preserve"> що</w:t>
            </w:r>
            <w:r w:rsidRPr="00E721C7">
              <w:rPr>
                <w:rFonts w:ascii="Calibri" w:hAnsi="Calibri"/>
                <w:sz w:val="24"/>
                <w:szCs w:val="24"/>
              </w:rPr>
              <w:t xml:space="preserve"> Державний земельний </w:t>
            </w:r>
            <w:r w:rsidRPr="00E721C7">
              <w:rPr>
                <w:rFonts w:ascii="Calibri" w:hAnsi="Calibri"/>
                <w:sz w:val="24"/>
                <w:szCs w:val="24"/>
              </w:rPr>
              <w:lastRenderedPageBreak/>
              <w:t>банк повинен набувати такі землі безпосереднь</w:t>
            </w:r>
            <w:r>
              <w:rPr>
                <w:rFonts w:ascii="Calibri" w:hAnsi="Calibri"/>
                <w:sz w:val="24"/>
                <w:szCs w:val="24"/>
              </w:rPr>
              <w:t xml:space="preserve">о для городництва, сінокосіння, ведення товарного </w:t>
            </w:r>
            <w:r w:rsidRPr="00E721C7">
              <w:rPr>
                <w:rFonts w:ascii="Calibri" w:hAnsi="Calibri"/>
                <w:sz w:val="24"/>
                <w:szCs w:val="24"/>
              </w:rPr>
              <w:t>сільськогосподарського виробництва і т.д., що є несумісним із поняттям</w:t>
            </w:r>
            <w:r>
              <w:rPr>
                <w:rFonts w:ascii="Calibri" w:hAnsi="Calibri"/>
                <w:sz w:val="24"/>
                <w:szCs w:val="24"/>
              </w:rPr>
              <w:t xml:space="preserve"> «банк», визначеним у </w:t>
            </w:r>
            <w:r w:rsidRPr="00E721C7">
              <w:rPr>
                <w:rFonts w:ascii="Calibri" w:hAnsi="Calibri"/>
                <w:sz w:val="24"/>
                <w:szCs w:val="24"/>
              </w:rPr>
              <w:t>ст. 2 Закону України «Про</w:t>
            </w:r>
            <w:r>
              <w:rPr>
                <w:rFonts w:ascii="Calibri" w:hAnsi="Calibri"/>
                <w:sz w:val="24"/>
                <w:szCs w:val="24"/>
              </w:rPr>
              <w:t xml:space="preserve"> банки і банківську діяльність». У ст. 123-1 проекту, якою пропонується доповнити ЗК України, визначається, що п</w:t>
            </w:r>
            <w:r w:rsidRPr="007B27C3">
              <w:rPr>
                <w:rFonts w:ascii="Calibri" w:hAnsi="Calibri"/>
                <w:color w:val="000000"/>
                <w:sz w:val="24"/>
                <w:szCs w:val="24"/>
              </w:rPr>
              <w:t xml:space="preserve">ередача земельних ділянок сільськогосподарського призначення державної власності до статутного капіталу Державного земельного банку проводиться </w:t>
            </w:r>
            <w:r w:rsidRPr="007B27C3">
              <w:rPr>
                <w:rFonts w:ascii="Calibri" w:hAnsi="Calibri"/>
                <w:color w:val="000000"/>
                <w:sz w:val="24"/>
                <w:szCs w:val="24"/>
                <w:u w:val="single"/>
              </w:rPr>
              <w:t>за рішенням Кабінету Міністрів України</w:t>
            </w:r>
            <w:r>
              <w:rPr>
                <w:rFonts w:ascii="Calibri" w:hAnsi="Calibri"/>
                <w:color w:val="000000"/>
                <w:sz w:val="24"/>
                <w:szCs w:val="24"/>
              </w:rPr>
              <w:t>.</w:t>
            </w:r>
          </w:p>
        </w:tc>
        <w:tc>
          <w:tcPr>
            <w:tcW w:w="3190" w:type="dxa"/>
          </w:tcPr>
          <w:p w:rsidR="00C15DB8" w:rsidRPr="00561153" w:rsidRDefault="00C15DB8" w:rsidP="002956A5">
            <w:pPr>
              <w:jc w:val="both"/>
              <w:rPr>
                <w:sz w:val="24"/>
                <w:szCs w:val="24"/>
                <w:lang w:val="uk-UA"/>
              </w:rPr>
            </w:pPr>
            <w:r w:rsidRPr="00561153">
              <w:rPr>
                <w:sz w:val="24"/>
                <w:szCs w:val="24"/>
                <w:lang w:val="uk-UA"/>
              </w:rPr>
              <w:lastRenderedPageBreak/>
              <w:t>Створення колізій в законодавстві</w:t>
            </w:r>
          </w:p>
        </w:tc>
      </w:tr>
      <w:tr w:rsidR="00C15DB8" w:rsidTr="002956A5">
        <w:tc>
          <w:tcPr>
            <w:tcW w:w="3190" w:type="dxa"/>
          </w:tcPr>
          <w:p w:rsidR="00C15DB8" w:rsidRPr="00B034A1" w:rsidRDefault="00C15DB8" w:rsidP="002956A5">
            <w:pPr>
              <w:rPr>
                <w:sz w:val="24"/>
                <w:szCs w:val="24"/>
                <w:lang w:val="uk-UA"/>
              </w:rPr>
            </w:pPr>
            <w:r w:rsidRPr="00B034A1">
              <w:rPr>
                <w:sz w:val="24"/>
                <w:szCs w:val="24"/>
                <w:lang w:val="uk-UA"/>
              </w:rPr>
              <w:lastRenderedPageBreak/>
              <w:t xml:space="preserve">Запропонована стаття 28-1 </w:t>
            </w:r>
            <w:r w:rsidRPr="006F3BEB">
              <w:rPr>
                <w:sz w:val="24"/>
                <w:szCs w:val="24"/>
                <w:lang w:val="uk-UA"/>
              </w:rPr>
              <w:t>З</w:t>
            </w:r>
            <w:r w:rsidR="00AD21BD">
              <w:rPr>
                <w:sz w:val="24"/>
                <w:szCs w:val="24"/>
                <w:lang w:val="uk-UA"/>
              </w:rPr>
              <w:t xml:space="preserve">емельного </w:t>
            </w:r>
            <w:r w:rsidRPr="006F3BEB">
              <w:rPr>
                <w:sz w:val="24"/>
                <w:szCs w:val="24"/>
                <w:lang w:val="uk-UA"/>
              </w:rPr>
              <w:t>К</w:t>
            </w:r>
            <w:r w:rsidR="00AD21BD">
              <w:rPr>
                <w:sz w:val="24"/>
                <w:szCs w:val="24"/>
                <w:lang w:val="uk-UA"/>
              </w:rPr>
              <w:t>одексу</w:t>
            </w:r>
            <w:r w:rsidRPr="006F3BEB">
              <w:rPr>
                <w:sz w:val="24"/>
                <w:szCs w:val="24"/>
                <w:lang w:val="uk-UA"/>
              </w:rPr>
              <w:t xml:space="preserve"> України</w:t>
            </w:r>
          </w:p>
        </w:tc>
        <w:tc>
          <w:tcPr>
            <w:tcW w:w="3190" w:type="dxa"/>
          </w:tcPr>
          <w:p w:rsidR="00C15DB8" w:rsidRPr="00B034A1" w:rsidRDefault="00C15DB8" w:rsidP="002956A5">
            <w:pPr>
              <w:pStyle w:val="a8"/>
              <w:ind w:firstLine="0"/>
              <w:rPr>
                <w:rFonts w:ascii="Calibri" w:hAnsi="Calibri"/>
                <w:sz w:val="24"/>
                <w:szCs w:val="24"/>
              </w:rPr>
            </w:pPr>
            <w:r w:rsidRPr="00B034A1">
              <w:rPr>
                <w:rFonts w:ascii="Calibri" w:hAnsi="Calibri"/>
                <w:sz w:val="24"/>
                <w:szCs w:val="24"/>
              </w:rPr>
              <w:t>ЗК України доповнюється статтею 28-1 «Земельні ділянки Державного земельного банку», згідно з якою «Державному земельному банку земельні ділянки сільськогосподарського призначення можуть належати на праві власності, постійного користування, оренди, користування чужою земельною ділянкою для сільськогосподарських потреб (емфітевзису)». При цьому частиною другою цієї статті встановлюється, що всі зазначені права на землю (без застереження, що йде</w:t>
            </w:r>
            <w:r>
              <w:rPr>
                <w:rFonts w:ascii="Calibri" w:hAnsi="Calibri"/>
                <w:sz w:val="24"/>
                <w:szCs w:val="24"/>
              </w:rPr>
              <w:t>ться</w:t>
            </w:r>
            <w:r w:rsidRPr="00B034A1">
              <w:rPr>
                <w:rFonts w:ascii="Calibri" w:hAnsi="Calibri"/>
                <w:sz w:val="24"/>
                <w:szCs w:val="24"/>
              </w:rPr>
              <w:t xml:space="preserve"> про сільськогосподарські землі) «Державний земельний банк може набувати у випадках та в порядку, визначеному законом для юридичних осіб». Стаття 82 ЗК України «Право власності на землю юридичних осіб» </w:t>
            </w:r>
            <w:r w:rsidRPr="00B034A1">
              <w:rPr>
                <w:rFonts w:ascii="Calibri" w:hAnsi="Calibri"/>
                <w:sz w:val="24"/>
                <w:szCs w:val="24"/>
              </w:rPr>
              <w:lastRenderedPageBreak/>
              <w:t>встановлює, що «юридичні особи можуть набувати у власність земельні ділянки для здійснення підприємницької діяльності у разі: придбання за договором купівлі-продажу, ренти, дарування, міни, іншими</w:t>
            </w:r>
            <w:r>
              <w:rPr>
                <w:rFonts w:ascii="Calibri" w:hAnsi="Calibri"/>
                <w:sz w:val="24"/>
                <w:szCs w:val="24"/>
              </w:rPr>
              <w:t xml:space="preserve"> </w:t>
            </w:r>
            <w:r w:rsidRPr="00B034A1">
              <w:rPr>
                <w:rFonts w:ascii="Calibri" w:hAnsi="Calibri"/>
                <w:sz w:val="24"/>
                <w:szCs w:val="24"/>
              </w:rPr>
              <w:t>цивільно-правовими угодами; внесення</w:t>
            </w:r>
            <w:r>
              <w:rPr>
                <w:rFonts w:ascii="Calibri" w:hAnsi="Calibri"/>
                <w:sz w:val="24"/>
                <w:szCs w:val="24"/>
              </w:rPr>
              <w:t xml:space="preserve"> </w:t>
            </w:r>
            <w:r w:rsidRPr="00B034A1">
              <w:rPr>
                <w:rFonts w:ascii="Calibri" w:hAnsi="Calibri"/>
                <w:sz w:val="24"/>
                <w:szCs w:val="24"/>
              </w:rPr>
              <w:t>земельних</w:t>
            </w:r>
            <w:r>
              <w:rPr>
                <w:rFonts w:ascii="Calibri" w:hAnsi="Calibri"/>
                <w:sz w:val="24"/>
                <w:szCs w:val="24"/>
              </w:rPr>
              <w:t xml:space="preserve"> </w:t>
            </w:r>
            <w:r w:rsidRPr="00B034A1">
              <w:rPr>
                <w:rFonts w:ascii="Calibri" w:hAnsi="Calibri"/>
                <w:sz w:val="24"/>
                <w:szCs w:val="24"/>
              </w:rPr>
              <w:t xml:space="preserve">ділянок її засновниками до статутного капіталу; прийняття спадщини; виникнення інших підстав, передбачених законом», що не відповідає правовим підставам набуття земель сільськогосподарського призначення. </w:t>
            </w:r>
          </w:p>
        </w:tc>
        <w:tc>
          <w:tcPr>
            <w:tcW w:w="3190" w:type="dxa"/>
          </w:tcPr>
          <w:p w:rsidR="00C15DB8" w:rsidRPr="00B034A1" w:rsidRDefault="00C15DB8" w:rsidP="002956A5">
            <w:pPr>
              <w:jc w:val="both"/>
              <w:rPr>
                <w:sz w:val="24"/>
                <w:szCs w:val="24"/>
                <w:lang w:val="uk-UA"/>
              </w:rPr>
            </w:pPr>
            <w:r w:rsidRPr="00561153">
              <w:rPr>
                <w:sz w:val="24"/>
                <w:szCs w:val="24"/>
                <w:lang w:val="uk-UA"/>
              </w:rPr>
              <w:lastRenderedPageBreak/>
              <w:t>Створення колізій в законодавстві</w:t>
            </w:r>
          </w:p>
        </w:tc>
      </w:tr>
    </w:tbl>
    <w:p w:rsidR="008603A9" w:rsidRPr="001E2478" w:rsidRDefault="008603A9" w:rsidP="008603A9">
      <w:pPr>
        <w:pStyle w:val="1"/>
        <w:numPr>
          <w:ilvl w:val="0"/>
          <w:numId w:val="2"/>
        </w:numPr>
        <w:spacing w:before="120" w:after="0" w:line="240" w:lineRule="auto"/>
        <w:contextualSpacing w:val="0"/>
        <w:rPr>
          <w:b/>
          <w:sz w:val="24"/>
          <w:szCs w:val="24"/>
          <w:lang w:val="uk-UA"/>
        </w:rPr>
      </w:pPr>
      <w:r>
        <w:rPr>
          <w:b/>
          <w:sz w:val="24"/>
          <w:szCs w:val="24"/>
          <w:lang w:val="uk-UA"/>
        </w:rPr>
        <w:lastRenderedPageBreak/>
        <w:t>С</w:t>
      </w:r>
      <w:r w:rsidRPr="001E2478">
        <w:rPr>
          <w:b/>
          <w:sz w:val="24"/>
          <w:szCs w:val="24"/>
          <w:lang w:val="uk-UA"/>
        </w:rPr>
        <w:t xml:space="preserve">уб’єкти корупційних відносин </w:t>
      </w:r>
    </w:p>
    <w:p w:rsidR="008603A9" w:rsidRDefault="008603A9" w:rsidP="008603A9">
      <w:pPr>
        <w:spacing w:before="120" w:after="0" w:line="240" w:lineRule="auto"/>
        <w:jc w:val="both"/>
        <w:rPr>
          <w:sz w:val="24"/>
          <w:szCs w:val="24"/>
          <w:lang w:val="uk-UA"/>
        </w:rPr>
      </w:pPr>
      <w:r w:rsidRPr="001E2478">
        <w:rPr>
          <w:b/>
          <w:i/>
          <w:sz w:val="24"/>
          <w:szCs w:val="24"/>
          <w:lang w:val="uk-UA"/>
        </w:rPr>
        <w:t>Хто може отримувати корупційні вигоди:</w:t>
      </w:r>
      <w:r w:rsidRPr="001E2478">
        <w:rPr>
          <w:sz w:val="24"/>
          <w:szCs w:val="24"/>
          <w:lang w:val="uk-UA"/>
        </w:rPr>
        <w:t xml:space="preserve"> </w:t>
      </w:r>
      <w:r w:rsidR="0027047D" w:rsidRPr="00561153">
        <w:rPr>
          <w:rFonts w:cs="Arial"/>
          <w:sz w:val="24"/>
          <w:szCs w:val="24"/>
          <w:lang w:val="uk-UA"/>
        </w:rPr>
        <w:t xml:space="preserve">представники </w:t>
      </w:r>
      <w:r w:rsidR="0027047D">
        <w:rPr>
          <w:rFonts w:cs="Arial"/>
          <w:sz w:val="24"/>
          <w:szCs w:val="24"/>
          <w:lang w:val="uk-UA"/>
        </w:rPr>
        <w:t xml:space="preserve">Кабінету Міністрів України та </w:t>
      </w:r>
      <w:r w:rsidR="0027047D">
        <w:rPr>
          <w:sz w:val="24"/>
          <w:szCs w:val="24"/>
          <w:lang w:val="uk-UA"/>
        </w:rPr>
        <w:t>особи, наближені до членів Кабінету Міністрів України.</w:t>
      </w:r>
    </w:p>
    <w:p w:rsidR="008603A9" w:rsidRPr="001E2478" w:rsidRDefault="008603A9" w:rsidP="008603A9">
      <w:pPr>
        <w:spacing w:before="120" w:after="0" w:line="240" w:lineRule="auto"/>
        <w:rPr>
          <w:sz w:val="24"/>
          <w:szCs w:val="24"/>
          <w:lang w:val="uk-UA"/>
        </w:rPr>
      </w:pPr>
      <w:r w:rsidRPr="001E2478">
        <w:rPr>
          <w:b/>
          <w:i/>
          <w:sz w:val="24"/>
          <w:szCs w:val="24"/>
          <w:lang w:val="uk-UA"/>
        </w:rPr>
        <w:t>Методологія оцінки обсягу корупційної вигоди та результати оцінки:</w:t>
      </w:r>
      <w:r w:rsidRPr="001E2478">
        <w:rPr>
          <w:sz w:val="24"/>
          <w:szCs w:val="24"/>
          <w:lang w:val="uk-UA"/>
        </w:rPr>
        <w:t xml:space="preserve"> </w:t>
      </w:r>
      <w:r w:rsidR="0027047D">
        <w:rPr>
          <w:sz w:val="24"/>
          <w:szCs w:val="24"/>
          <w:lang w:val="uk-UA"/>
        </w:rPr>
        <w:t>важко оцінити</w:t>
      </w:r>
      <w:r>
        <w:rPr>
          <w:sz w:val="24"/>
          <w:szCs w:val="24"/>
          <w:lang w:val="uk-UA"/>
        </w:rPr>
        <w:t xml:space="preserve"> </w:t>
      </w:r>
    </w:p>
    <w:p w:rsidR="008603A9" w:rsidRPr="00953F77" w:rsidRDefault="008603A9" w:rsidP="008603A9">
      <w:pPr>
        <w:pStyle w:val="1"/>
        <w:spacing w:before="120" w:after="0" w:line="240" w:lineRule="auto"/>
        <w:ind w:left="0"/>
        <w:jc w:val="both"/>
        <w:rPr>
          <w:sz w:val="24"/>
          <w:szCs w:val="24"/>
          <w:lang w:val="uk-UA"/>
        </w:rPr>
      </w:pPr>
      <w:r w:rsidRPr="001E2478">
        <w:rPr>
          <w:b/>
          <w:i/>
          <w:sz w:val="24"/>
          <w:szCs w:val="24"/>
          <w:lang w:val="uk-UA"/>
        </w:rPr>
        <w:t xml:space="preserve">Хто платитиме корупційні внески: </w:t>
      </w:r>
      <w:r w:rsidR="0027047D" w:rsidRPr="00561153">
        <w:rPr>
          <w:sz w:val="24"/>
          <w:szCs w:val="24"/>
          <w:lang w:val="uk-UA"/>
        </w:rPr>
        <w:t xml:space="preserve">громадяни України, </w:t>
      </w:r>
      <w:r w:rsidR="0027047D">
        <w:rPr>
          <w:sz w:val="24"/>
          <w:szCs w:val="24"/>
          <w:lang w:val="uk-UA"/>
        </w:rPr>
        <w:t xml:space="preserve">зацікавлені в </w:t>
      </w:r>
      <w:r w:rsidR="0027047D" w:rsidRPr="00111325">
        <w:rPr>
          <w:sz w:val="24"/>
          <w:szCs w:val="24"/>
          <w:lang w:val="uk-UA"/>
        </w:rPr>
        <w:t>передачі земельних ділянок сільськогосподарського призначення державної власності до статутного капіталу Державного земельного банку</w:t>
      </w:r>
      <w:r w:rsidR="0027047D">
        <w:rPr>
          <w:sz w:val="24"/>
          <w:szCs w:val="24"/>
          <w:lang w:val="uk-UA"/>
        </w:rPr>
        <w:t>.</w:t>
      </w:r>
    </w:p>
    <w:p w:rsidR="008603A9" w:rsidRPr="001E2478" w:rsidRDefault="008603A9" w:rsidP="008603A9">
      <w:pPr>
        <w:spacing w:before="120" w:after="0" w:line="240" w:lineRule="auto"/>
        <w:rPr>
          <w:sz w:val="24"/>
          <w:szCs w:val="24"/>
          <w:lang w:val="uk-UA"/>
        </w:rPr>
      </w:pPr>
      <w:r w:rsidRPr="001E2478">
        <w:rPr>
          <w:b/>
          <w:i/>
          <w:sz w:val="24"/>
          <w:szCs w:val="24"/>
          <w:lang w:val="uk-UA"/>
        </w:rPr>
        <w:t>Методологія оцінки обсягу корупційних втрат та результати оцінки:</w:t>
      </w:r>
      <w:r w:rsidRPr="001E2478">
        <w:rPr>
          <w:sz w:val="24"/>
          <w:szCs w:val="24"/>
          <w:lang w:val="uk-UA"/>
        </w:rPr>
        <w:t xml:space="preserve"> </w:t>
      </w:r>
      <w:r w:rsidR="0027047D">
        <w:rPr>
          <w:sz w:val="24"/>
          <w:szCs w:val="24"/>
          <w:lang w:val="uk-UA"/>
        </w:rPr>
        <w:t xml:space="preserve">важко оцінити </w:t>
      </w:r>
    </w:p>
    <w:p w:rsidR="008603A9" w:rsidRPr="001E2478" w:rsidRDefault="008603A9" w:rsidP="008603A9">
      <w:pPr>
        <w:pStyle w:val="1"/>
        <w:numPr>
          <w:ilvl w:val="0"/>
          <w:numId w:val="2"/>
        </w:numPr>
        <w:spacing w:before="120" w:after="0" w:line="240" w:lineRule="auto"/>
        <w:ind w:left="714" w:hanging="357"/>
        <w:contextualSpacing w:val="0"/>
        <w:rPr>
          <w:b/>
          <w:sz w:val="24"/>
          <w:szCs w:val="24"/>
          <w:lang w:val="uk-UA"/>
        </w:rPr>
      </w:pPr>
      <w:r w:rsidRPr="001E2478">
        <w:rPr>
          <w:b/>
          <w:sz w:val="24"/>
          <w:szCs w:val="24"/>
          <w:lang w:val="uk-UA"/>
        </w:rPr>
        <w:t xml:space="preserve">Висновки та рекомендації </w:t>
      </w:r>
    </w:p>
    <w:p w:rsidR="0027047D" w:rsidRPr="00561153" w:rsidRDefault="008603A9" w:rsidP="0027047D">
      <w:pPr>
        <w:spacing w:before="120" w:after="0" w:line="240" w:lineRule="auto"/>
        <w:jc w:val="both"/>
        <w:rPr>
          <w:sz w:val="24"/>
          <w:szCs w:val="24"/>
          <w:lang w:val="uk-UA"/>
        </w:rPr>
      </w:pPr>
      <w:r>
        <w:rPr>
          <w:sz w:val="24"/>
          <w:szCs w:val="24"/>
          <w:lang w:val="uk-UA"/>
        </w:rPr>
        <w:t xml:space="preserve">  </w:t>
      </w:r>
      <w:r w:rsidR="0027047D" w:rsidRPr="00561153">
        <w:rPr>
          <w:sz w:val="24"/>
          <w:szCs w:val="24"/>
          <w:lang w:val="uk-UA"/>
        </w:rPr>
        <w:t xml:space="preserve">У законопроекті виявлено корупційні ризики. </w:t>
      </w:r>
    </w:p>
    <w:p w:rsidR="0027047D" w:rsidRPr="0027047D" w:rsidRDefault="0027047D" w:rsidP="0027047D">
      <w:pPr>
        <w:spacing w:before="120" w:after="0" w:line="240" w:lineRule="auto"/>
        <w:jc w:val="center"/>
        <w:rPr>
          <w:b/>
          <w:sz w:val="24"/>
          <w:szCs w:val="24"/>
          <w:lang w:val="uk-UA"/>
        </w:rPr>
      </w:pPr>
      <w:r w:rsidRPr="0027047D">
        <w:rPr>
          <w:b/>
          <w:sz w:val="24"/>
          <w:szCs w:val="24"/>
          <w:lang w:val="uk-UA"/>
        </w:rPr>
        <w:t>З урахуванням цього висновку, Громадська експертна рада рекомендує відхилити законопроект за результатами розгляду в першому читанні.</w:t>
      </w:r>
    </w:p>
    <w:p w:rsidR="008603A9" w:rsidRPr="0027047D" w:rsidRDefault="008603A9" w:rsidP="0027047D">
      <w:pPr>
        <w:pStyle w:val="1"/>
        <w:spacing w:before="120" w:after="0" w:line="240" w:lineRule="auto"/>
        <w:ind w:left="0"/>
        <w:jc w:val="both"/>
        <w:rPr>
          <w:sz w:val="24"/>
          <w:szCs w:val="24"/>
          <w:lang w:val="uk-UA"/>
        </w:rPr>
      </w:pPr>
      <w:r w:rsidRPr="0027047D">
        <w:rPr>
          <w:b/>
          <w:sz w:val="24"/>
          <w:szCs w:val="24"/>
          <w:lang w:val="uk-UA"/>
        </w:rPr>
        <w:t>.</w:t>
      </w:r>
    </w:p>
    <w:p w:rsidR="008603A9" w:rsidRDefault="008603A9" w:rsidP="008603A9">
      <w:pPr>
        <w:rPr>
          <w:sz w:val="24"/>
          <w:szCs w:val="24"/>
          <w:lang w:val="uk-UA"/>
        </w:rPr>
      </w:pPr>
    </w:p>
    <w:p w:rsidR="003D21E6" w:rsidRDefault="006C48F9" w:rsidP="008603A9">
      <w:pPr>
        <w:spacing w:before="120" w:after="0" w:line="240" w:lineRule="auto"/>
      </w:pPr>
    </w:p>
    <w:p w:rsidR="008603A9" w:rsidRDefault="008603A9" w:rsidP="008603A9">
      <w:pPr>
        <w:spacing w:before="120" w:after="0" w:line="240" w:lineRule="auto"/>
      </w:pPr>
    </w:p>
    <w:p w:rsidR="008603A9" w:rsidRDefault="008603A9" w:rsidP="008603A9">
      <w:pPr>
        <w:spacing w:before="120" w:after="0" w:line="240" w:lineRule="auto"/>
      </w:pPr>
    </w:p>
    <w:p w:rsidR="008603A9" w:rsidRDefault="008603A9" w:rsidP="008603A9">
      <w:pPr>
        <w:spacing w:before="120" w:after="0" w:line="240" w:lineRule="auto"/>
      </w:pPr>
    </w:p>
    <w:p w:rsidR="008603A9" w:rsidRDefault="008603A9" w:rsidP="008603A9">
      <w:pPr>
        <w:spacing w:before="120" w:after="0" w:line="240" w:lineRule="auto"/>
      </w:pPr>
    </w:p>
    <w:sectPr w:rsidR="008603A9" w:rsidSect="00EE17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Antiqua">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47EDB"/>
    <w:multiLevelType w:val="hybridMultilevel"/>
    <w:tmpl w:val="57D87358"/>
    <w:lvl w:ilvl="0" w:tplc="998CF5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57B6268"/>
    <w:multiLevelType w:val="hybridMultilevel"/>
    <w:tmpl w:val="A43654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3A9"/>
    <w:rsid w:val="00050D5F"/>
    <w:rsid w:val="001254F8"/>
    <w:rsid w:val="002063D1"/>
    <w:rsid w:val="0027047D"/>
    <w:rsid w:val="003B066B"/>
    <w:rsid w:val="006C48F9"/>
    <w:rsid w:val="00710E92"/>
    <w:rsid w:val="007573CF"/>
    <w:rsid w:val="007A6856"/>
    <w:rsid w:val="007C1854"/>
    <w:rsid w:val="008603A9"/>
    <w:rsid w:val="008A22C8"/>
    <w:rsid w:val="009044A5"/>
    <w:rsid w:val="00946EBD"/>
    <w:rsid w:val="009B1377"/>
    <w:rsid w:val="009D73D3"/>
    <w:rsid w:val="00A608A3"/>
    <w:rsid w:val="00AD21BD"/>
    <w:rsid w:val="00C15DB8"/>
    <w:rsid w:val="00CB2BFE"/>
    <w:rsid w:val="00D048F1"/>
    <w:rsid w:val="00EE1783"/>
    <w:rsid w:val="00F55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A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8603A9"/>
    <w:rPr>
      <w:rFonts w:cs="Times New Roman"/>
      <w:color w:val="0000FF"/>
      <w:u w:val="single"/>
    </w:rPr>
  </w:style>
  <w:style w:type="paragraph" w:styleId="a4">
    <w:name w:val="header"/>
    <w:basedOn w:val="a"/>
    <w:link w:val="a5"/>
    <w:rsid w:val="008603A9"/>
    <w:pPr>
      <w:tabs>
        <w:tab w:val="center" w:pos="4677"/>
        <w:tab w:val="right" w:pos="9355"/>
      </w:tabs>
      <w:spacing w:after="0" w:line="240" w:lineRule="auto"/>
    </w:pPr>
    <w:rPr>
      <w:rFonts w:ascii="Arial" w:hAnsi="Arial" w:cs="Arial"/>
      <w:color w:val="000000"/>
      <w:spacing w:val="1"/>
      <w:w w:val="93"/>
      <w:sz w:val="28"/>
      <w:szCs w:val="24"/>
      <w:lang w:val="uk-UA" w:eastAsia="ru-RU"/>
    </w:rPr>
  </w:style>
  <w:style w:type="character" w:customStyle="1" w:styleId="a5">
    <w:name w:val="Верхний колонтитул Знак"/>
    <w:basedOn w:val="a0"/>
    <w:link w:val="a4"/>
    <w:rsid w:val="008603A9"/>
    <w:rPr>
      <w:rFonts w:ascii="Arial" w:eastAsia="Times New Roman" w:hAnsi="Arial" w:cs="Arial"/>
      <w:color w:val="000000"/>
      <w:spacing w:val="1"/>
      <w:w w:val="93"/>
      <w:sz w:val="28"/>
      <w:szCs w:val="24"/>
      <w:lang w:val="uk-UA" w:eastAsia="ru-RU"/>
    </w:rPr>
  </w:style>
  <w:style w:type="paragraph" w:customStyle="1" w:styleId="1">
    <w:name w:val="Абзац списка1"/>
    <w:basedOn w:val="a"/>
    <w:rsid w:val="008603A9"/>
    <w:pPr>
      <w:ind w:left="720"/>
      <w:contextualSpacing/>
    </w:pPr>
  </w:style>
  <w:style w:type="table" w:styleId="a6">
    <w:name w:val="Table Grid"/>
    <w:basedOn w:val="a1"/>
    <w:uiPriority w:val="59"/>
    <w:rsid w:val="00860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B2BFE"/>
    <w:pPr>
      <w:ind w:left="720"/>
      <w:contextualSpacing/>
    </w:pPr>
  </w:style>
  <w:style w:type="paragraph" w:customStyle="1" w:styleId="a8">
    <w:name w:val="Нормальний текст"/>
    <w:basedOn w:val="a"/>
    <w:rsid w:val="00C15DB8"/>
    <w:pPr>
      <w:spacing w:before="120" w:after="0" w:line="240" w:lineRule="auto"/>
      <w:ind w:firstLine="567"/>
      <w:jc w:val="both"/>
    </w:pPr>
    <w:rPr>
      <w:rFonts w:ascii="Antiqua" w:eastAsia="Calibri" w:hAnsi="Antiqua"/>
      <w:sz w:val="26"/>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1.c1.rada.gov.ua/pls/zweb2/webproc4_1?pf3511=4890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dc:creator>
  <cp:lastModifiedBy>grain</cp:lastModifiedBy>
  <cp:revision>20</cp:revision>
  <dcterms:created xsi:type="dcterms:W3CDTF">2014-01-11T10:42:00Z</dcterms:created>
  <dcterms:modified xsi:type="dcterms:W3CDTF">2014-01-15T11:20:00Z</dcterms:modified>
</cp:coreProperties>
</file>