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B0" w:rsidRDefault="00C81AB0" w:rsidP="00C81AB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Комітет Верховної Ради України з питань боротьби із організованою злочинністю та корупцією</w:t>
      </w:r>
    </w:p>
    <w:p w:rsidR="00C81AB0" w:rsidRPr="00265D18" w:rsidRDefault="00C81AB0" w:rsidP="00C81AB0">
      <w:pPr>
        <w:jc w:val="center"/>
        <w:rPr>
          <w:b/>
          <w:sz w:val="28"/>
          <w:szCs w:val="28"/>
          <w:lang w:val="uk-UA"/>
        </w:rPr>
      </w:pPr>
      <w:r w:rsidRPr="00265D18">
        <w:rPr>
          <w:b/>
          <w:sz w:val="28"/>
          <w:szCs w:val="28"/>
          <w:lang w:val="uk-UA"/>
        </w:rPr>
        <w:t xml:space="preserve">Громадська експертна рада </w:t>
      </w:r>
    </w:p>
    <w:p w:rsidR="00C81AB0" w:rsidRDefault="00C81AB0" w:rsidP="00C81AB0">
      <w:pPr>
        <w:tabs>
          <w:tab w:val="left" w:pos="537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C81AB0" w:rsidRPr="00E55B93" w:rsidRDefault="00C81AB0" w:rsidP="00C81AB0">
      <w:pPr>
        <w:jc w:val="center"/>
        <w:rPr>
          <w:b/>
          <w:sz w:val="26"/>
          <w:szCs w:val="26"/>
          <w:lang w:val="uk-UA"/>
        </w:rPr>
      </w:pPr>
      <w:r w:rsidRPr="00E55B93">
        <w:rPr>
          <w:b/>
          <w:sz w:val="26"/>
          <w:szCs w:val="26"/>
          <w:lang w:val="uk-UA"/>
        </w:rPr>
        <w:t xml:space="preserve">Результати громадської антикорупційної експертизи </w:t>
      </w:r>
    </w:p>
    <w:tbl>
      <w:tblPr>
        <w:tblW w:w="0" w:type="auto"/>
        <w:tblLook w:val="00A0"/>
      </w:tblPr>
      <w:tblGrid>
        <w:gridCol w:w="2376"/>
        <w:gridCol w:w="7195"/>
      </w:tblGrid>
      <w:tr w:rsidR="0015775F" w:rsidRPr="00E30001" w:rsidTr="00C15989">
        <w:tc>
          <w:tcPr>
            <w:tcW w:w="2376" w:type="dxa"/>
            <w:tcBorders>
              <w:bottom w:val="single" w:sz="4" w:space="0" w:color="auto"/>
            </w:tcBorders>
          </w:tcPr>
          <w:p w:rsidR="0015775F" w:rsidRPr="00E30001" w:rsidRDefault="0015775F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Назва законопроекту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15775F" w:rsidRPr="00D45A3A" w:rsidRDefault="007E5BEC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027DFD" w:rsidRPr="00027DFD">
              <w:rPr>
                <w:sz w:val="24"/>
                <w:szCs w:val="24"/>
                <w:lang w:val="uk-UA"/>
              </w:rPr>
              <w:t>ро внесення змін до деяких законів України щодо створення і використання корпоративних амортизаційних коштів житлових будинків</w:t>
            </w:r>
          </w:p>
        </w:tc>
      </w:tr>
      <w:tr w:rsidR="0015775F" w:rsidRPr="00E30001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E30001" w:rsidRDefault="0015775F" w:rsidP="00C15989">
            <w:pPr>
              <w:tabs>
                <w:tab w:val="left" w:pos="2085"/>
              </w:tabs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Номер законопроекту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B10F0A" w:rsidRPr="00E30001" w:rsidRDefault="00027DFD" w:rsidP="00B10F0A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2948</w:t>
            </w:r>
          </w:p>
        </w:tc>
      </w:tr>
      <w:tr w:rsidR="0015775F" w:rsidRPr="00E30001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E30001" w:rsidRDefault="0015775F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2A4B85" w:rsidRDefault="0015775F" w:rsidP="00027DFD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027DFD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.0</w:t>
            </w:r>
            <w:r w:rsidR="00027DFD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.2013</w:t>
            </w:r>
          </w:p>
        </w:tc>
      </w:tr>
      <w:tr w:rsidR="0015775F" w:rsidRPr="005C4649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E30001" w:rsidRDefault="0015775F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Автор законопроекту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E30001" w:rsidRDefault="00027DFD" w:rsidP="00636BD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27DFD">
              <w:rPr>
                <w:sz w:val="24"/>
                <w:szCs w:val="24"/>
                <w:lang w:val="uk-UA"/>
              </w:rPr>
              <w:t>Морозенко Є.В.</w:t>
            </w:r>
            <w:r w:rsidR="00636BD0">
              <w:rPr>
                <w:sz w:val="24"/>
                <w:szCs w:val="24"/>
                <w:lang w:val="uk-UA"/>
              </w:rPr>
              <w:t>,</w:t>
            </w:r>
            <w:r w:rsidR="006F21E9">
              <w:rPr>
                <w:sz w:val="24"/>
                <w:szCs w:val="24"/>
                <w:lang w:val="uk-UA"/>
              </w:rPr>
              <w:t xml:space="preserve"> народний депутат </w:t>
            </w:r>
            <w:r w:rsidR="006F21E9">
              <w:rPr>
                <w:sz w:val="24"/>
                <w:szCs w:val="24"/>
                <w:lang w:val="en-US"/>
              </w:rPr>
              <w:t>VII</w:t>
            </w:r>
            <w:r w:rsidR="006F21E9" w:rsidRPr="007B1824">
              <w:rPr>
                <w:sz w:val="24"/>
                <w:szCs w:val="24"/>
              </w:rPr>
              <w:t xml:space="preserve"> </w:t>
            </w:r>
            <w:r w:rsidR="006F21E9">
              <w:rPr>
                <w:sz w:val="24"/>
                <w:szCs w:val="24"/>
                <w:lang w:val="uk-UA"/>
              </w:rPr>
              <w:t>скликання,</w:t>
            </w:r>
            <w:r w:rsidR="00636BD0">
              <w:rPr>
                <w:sz w:val="24"/>
                <w:szCs w:val="24"/>
                <w:lang w:val="uk-UA"/>
              </w:rPr>
              <w:t xml:space="preserve"> член фракції Партії регіонів</w:t>
            </w:r>
          </w:p>
        </w:tc>
      </w:tr>
      <w:tr w:rsidR="0015775F" w:rsidRPr="00027DFD" w:rsidTr="00C15989">
        <w:trPr>
          <w:trHeight w:val="77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E30001" w:rsidRDefault="0015775F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Головний комітет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D45A3A" w:rsidRDefault="00027DFD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27DFD">
              <w:rPr>
                <w:sz w:val="24"/>
                <w:szCs w:val="24"/>
                <w:lang w:val="uk-UA"/>
              </w:rPr>
              <w:t>Комітет з питань будівництва, містобудування і житлово-комунального господарства та регіональної політики</w:t>
            </w:r>
          </w:p>
        </w:tc>
      </w:tr>
      <w:tr w:rsidR="0015775F" w:rsidRPr="00E30001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E30001" w:rsidRDefault="0015775F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Етап проходження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D45A3A" w:rsidRDefault="00027DFD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27DFD">
              <w:rPr>
                <w:sz w:val="24"/>
                <w:szCs w:val="24"/>
                <w:lang w:val="uk-UA"/>
              </w:rPr>
              <w:t>Надано на заміну (20.12.2013)</w:t>
            </w:r>
          </w:p>
        </w:tc>
      </w:tr>
      <w:tr w:rsidR="0015775F" w:rsidRPr="00E30001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E30001" w:rsidRDefault="0015775F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Висновок Головного науково-експертного управління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15775F" w:rsidRDefault="00027DFD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Відсутній (по доопрацьованому законопроекту від 18.12.2013)</w:t>
            </w:r>
          </w:p>
        </w:tc>
      </w:tr>
      <w:tr w:rsidR="0015775F" w:rsidRPr="00E30001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E30001" w:rsidRDefault="0015775F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Висновок профільного комітету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F6712E" w:rsidRDefault="00027DFD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Відсутній (по доопрацьованому законопроекту від 18.12.2013)</w:t>
            </w:r>
          </w:p>
        </w:tc>
      </w:tr>
      <w:tr w:rsidR="0015775F" w:rsidRPr="0066389E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E30001" w:rsidRDefault="0015775F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Веб-адреса картки законопроекту на сервері ВРУ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15775F" w:rsidRPr="00F6712E" w:rsidRDefault="001D2856" w:rsidP="00C1598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hyperlink r:id="rId5" w:history="1">
              <w:r w:rsidR="00027DFD">
                <w:rPr>
                  <w:rStyle w:val="a3"/>
                </w:rPr>
                <w:t>http</w:t>
              </w:r>
              <w:r w:rsidR="00027DFD" w:rsidRPr="00027DFD">
                <w:rPr>
                  <w:rStyle w:val="a3"/>
                  <w:lang w:val="uk-UA"/>
                </w:rPr>
                <w:t>://</w:t>
              </w:r>
              <w:r w:rsidR="00027DFD">
                <w:rPr>
                  <w:rStyle w:val="a3"/>
                </w:rPr>
                <w:t>w</w:t>
              </w:r>
              <w:r w:rsidR="00027DFD" w:rsidRPr="00027DFD">
                <w:rPr>
                  <w:rStyle w:val="a3"/>
                  <w:lang w:val="uk-UA"/>
                </w:rPr>
                <w:t>1.</w:t>
              </w:r>
              <w:r w:rsidR="00027DFD">
                <w:rPr>
                  <w:rStyle w:val="a3"/>
                </w:rPr>
                <w:t>c</w:t>
              </w:r>
              <w:r w:rsidR="00027DFD" w:rsidRPr="00027DFD">
                <w:rPr>
                  <w:rStyle w:val="a3"/>
                  <w:lang w:val="uk-UA"/>
                </w:rPr>
                <w:t>1.</w:t>
              </w:r>
              <w:r w:rsidR="00027DFD">
                <w:rPr>
                  <w:rStyle w:val="a3"/>
                </w:rPr>
                <w:t>rada</w:t>
              </w:r>
              <w:r w:rsidR="00027DFD" w:rsidRPr="00027DFD">
                <w:rPr>
                  <w:rStyle w:val="a3"/>
                  <w:lang w:val="uk-UA"/>
                </w:rPr>
                <w:t>.</w:t>
              </w:r>
              <w:r w:rsidR="00027DFD">
                <w:rPr>
                  <w:rStyle w:val="a3"/>
                </w:rPr>
                <w:t>gov</w:t>
              </w:r>
              <w:r w:rsidR="00027DFD" w:rsidRPr="00027DFD">
                <w:rPr>
                  <w:rStyle w:val="a3"/>
                  <w:lang w:val="uk-UA"/>
                </w:rPr>
                <w:t>.</w:t>
              </w:r>
              <w:r w:rsidR="00027DFD">
                <w:rPr>
                  <w:rStyle w:val="a3"/>
                </w:rPr>
                <w:t>ua</w:t>
              </w:r>
              <w:r w:rsidR="00027DFD" w:rsidRPr="00027DFD">
                <w:rPr>
                  <w:rStyle w:val="a3"/>
                  <w:lang w:val="uk-UA"/>
                </w:rPr>
                <w:t>/</w:t>
              </w:r>
              <w:r w:rsidR="00027DFD">
                <w:rPr>
                  <w:rStyle w:val="a3"/>
                </w:rPr>
                <w:t>pls</w:t>
              </w:r>
              <w:r w:rsidR="00027DFD" w:rsidRPr="00027DFD">
                <w:rPr>
                  <w:rStyle w:val="a3"/>
                  <w:lang w:val="uk-UA"/>
                </w:rPr>
                <w:t>/</w:t>
              </w:r>
              <w:r w:rsidR="00027DFD">
                <w:rPr>
                  <w:rStyle w:val="a3"/>
                </w:rPr>
                <w:t>zweb</w:t>
              </w:r>
              <w:r w:rsidR="00027DFD" w:rsidRPr="00027DFD">
                <w:rPr>
                  <w:rStyle w:val="a3"/>
                  <w:lang w:val="uk-UA"/>
                </w:rPr>
                <w:t>2/</w:t>
              </w:r>
              <w:r w:rsidR="00027DFD">
                <w:rPr>
                  <w:rStyle w:val="a3"/>
                </w:rPr>
                <w:t>webproc</w:t>
              </w:r>
              <w:r w:rsidR="00027DFD" w:rsidRPr="00027DFD">
                <w:rPr>
                  <w:rStyle w:val="a3"/>
                  <w:lang w:val="uk-UA"/>
                </w:rPr>
                <w:t>4_1?</w:t>
              </w:r>
              <w:r w:rsidR="00027DFD">
                <w:rPr>
                  <w:rStyle w:val="a3"/>
                </w:rPr>
                <w:t>pf</w:t>
              </w:r>
              <w:r w:rsidR="00027DFD" w:rsidRPr="00027DFD">
                <w:rPr>
                  <w:rStyle w:val="a3"/>
                  <w:lang w:val="uk-UA"/>
                </w:rPr>
                <w:t>3511=46819</w:t>
              </w:r>
            </w:hyperlink>
          </w:p>
        </w:tc>
      </w:tr>
      <w:tr w:rsidR="005C4649" w:rsidRPr="005C4649" w:rsidTr="00C1598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5C4649" w:rsidRDefault="005C4649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Дата схвалення висновку Громадською експертною радою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5C4649" w:rsidRPr="0066389E" w:rsidRDefault="0066389E" w:rsidP="00C15989">
            <w:pPr>
              <w:spacing w:after="0" w:line="240" w:lineRule="auto"/>
              <w:rPr>
                <w:lang w:val="uk-UA"/>
              </w:rPr>
            </w:pPr>
            <w:r>
              <w:t>14 с</w:t>
            </w:r>
            <w:proofErr w:type="spellStart"/>
            <w:r>
              <w:rPr>
                <w:lang w:val="uk-UA"/>
              </w:rPr>
              <w:t>ічня</w:t>
            </w:r>
            <w:proofErr w:type="spellEnd"/>
            <w:r>
              <w:rPr>
                <w:lang w:val="uk-UA"/>
              </w:rPr>
              <w:t xml:space="preserve"> 2014 року</w:t>
            </w:r>
          </w:p>
        </w:tc>
      </w:tr>
      <w:tr w:rsidR="0015775F" w:rsidRPr="00E30001" w:rsidTr="00C15989">
        <w:tc>
          <w:tcPr>
            <w:tcW w:w="2376" w:type="dxa"/>
            <w:tcBorders>
              <w:top w:val="single" w:sz="4" w:space="0" w:color="auto"/>
            </w:tcBorders>
          </w:tcPr>
          <w:p w:rsidR="0015775F" w:rsidRPr="00E30001" w:rsidRDefault="0015775F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 xml:space="preserve">Висновок та рекомендації </w:t>
            </w:r>
          </w:p>
          <w:p w:rsidR="0015775F" w:rsidRPr="00E30001" w:rsidRDefault="0015775F" w:rsidP="00C15989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Громадської експертної ради</w:t>
            </w: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15775F" w:rsidRPr="00E30001" w:rsidRDefault="0015775F" w:rsidP="00C15989">
            <w:pPr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E30001">
              <w:rPr>
                <w:b/>
                <w:sz w:val="24"/>
                <w:szCs w:val="24"/>
                <w:lang w:val="uk-UA"/>
              </w:rPr>
              <w:t>Законопроект містить корупційн</w:t>
            </w:r>
            <w:r w:rsidR="008979E5">
              <w:rPr>
                <w:b/>
                <w:sz w:val="24"/>
                <w:szCs w:val="24"/>
                <w:lang w:val="uk-UA"/>
              </w:rPr>
              <w:t>і</w:t>
            </w:r>
            <w:r w:rsidR="00027DFD">
              <w:rPr>
                <w:b/>
                <w:sz w:val="24"/>
                <w:szCs w:val="24"/>
                <w:lang w:val="uk-UA"/>
              </w:rPr>
              <w:t xml:space="preserve"> ризик</w:t>
            </w:r>
            <w:r w:rsidR="008979E5">
              <w:rPr>
                <w:b/>
                <w:sz w:val="24"/>
                <w:szCs w:val="24"/>
                <w:lang w:val="uk-UA"/>
              </w:rPr>
              <w:t>и</w:t>
            </w:r>
          </w:p>
          <w:p w:rsidR="0015775F" w:rsidRDefault="0015775F" w:rsidP="00027DFD">
            <w:pPr>
              <w:rPr>
                <w:b/>
                <w:sz w:val="24"/>
                <w:szCs w:val="24"/>
                <w:lang w:val="uk-UA"/>
              </w:rPr>
            </w:pPr>
          </w:p>
          <w:p w:rsidR="007F3B25" w:rsidRPr="00E30001" w:rsidRDefault="009D66E5" w:rsidP="00027DF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Відхилити</w:t>
            </w:r>
          </w:p>
        </w:tc>
      </w:tr>
    </w:tbl>
    <w:p w:rsidR="00C81AB0" w:rsidRDefault="00C81AB0" w:rsidP="00C81AB0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Виконавець</w:t>
      </w:r>
    </w:p>
    <w:p w:rsidR="00C81AB0" w:rsidRDefault="00C81AB0" w:rsidP="00C81AB0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експерт</w:t>
      </w:r>
    </w:p>
    <w:p w:rsidR="00C81AB0" w:rsidRDefault="00C81AB0" w:rsidP="00C81AB0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Центру політичних студій та аналітики </w:t>
      </w:r>
    </w:p>
    <w:p w:rsidR="00C81AB0" w:rsidRDefault="00C81AB0" w:rsidP="00C81AB0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з громадської антикорупційної експертизи</w:t>
      </w:r>
    </w:p>
    <w:p w:rsidR="00C81AB0" w:rsidRDefault="00C81AB0" w:rsidP="00C81AB0">
      <w:pPr>
        <w:spacing w:before="120" w:after="0" w:line="240" w:lineRule="auto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Роман Скляров</w:t>
      </w:r>
    </w:p>
    <w:p w:rsidR="00C81AB0" w:rsidRDefault="00C81AB0" w:rsidP="00C81AB0">
      <w:pPr>
        <w:rPr>
          <w:lang w:val="uk-UA"/>
        </w:rPr>
      </w:pPr>
      <w:r>
        <w:rPr>
          <w:lang w:val="uk-UA"/>
        </w:rPr>
        <w:br w:type="page"/>
      </w:r>
    </w:p>
    <w:p w:rsidR="00C81AB0" w:rsidRPr="00C24F10" w:rsidRDefault="00C81AB0" w:rsidP="00C81AB0">
      <w:pPr>
        <w:pStyle w:val="1"/>
        <w:numPr>
          <w:ilvl w:val="0"/>
          <w:numId w:val="2"/>
        </w:num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spacing w:before="120" w:after="0" w:line="240" w:lineRule="auto"/>
        <w:ind w:left="142" w:hanging="87"/>
        <w:rPr>
          <w:b/>
          <w:sz w:val="26"/>
          <w:szCs w:val="26"/>
        </w:rPr>
      </w:pPr>
      <w:r w:rsidRPr="00C24F10">
        <w:rPr>
          <w:b/>
          <w:sz w:val="26"/>
          <w:szCs w:val="26"/>
          <w:lang w:val="uk-UA"/>
        </w:rPr>
        <w:lastRenderedPageBreak/>
        <w:t>Короткий виклад результа</w:t>
      </w:r>
      <w:r>
        <w:rPr>
          <w:b/>
          <w:sz w:val="26"/>
          <w:szCs w:val="26"/>
          <w:lang w:val="uk-UA"/>
        </w:rPr>
        <w:t>тів громадської антикорупційної експертизи</w:t>
      </w:r>
    </w:p>
    <w:p w:rsidR="00C81AB0" w:rsidRPr="005D4B7A" w:rsidRDefault="00C81AB0" w:rsidP="00C81AB0">
      <w:pPr>
        <w:pStyle w:val="1"/>
        <w:spacing w:before="120" w:after="0" w:line="240" w:lineRule="auto"/>
        <w:ind w:left="0" w:right="-711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Задекларовані ціль та способи її досягнення: </w:t>
      </w:r>
    </w:p>
    <w:p w:rsidR="00C81AB0" w:rsidRPr="006348B6" w:rsidRDefault="00C81AB0" w:rsidP="00C81AB0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532779">
        <w:rPr>
          <w:b/>
          <w:sz w:val="26"/>
          <w:szCs w:val="26"/>
          <w:lang w:val="uk-UA"/>
        </w:rPr>
        <w:t>Ціль</w:t>
      </w:r>
      <w:r>
        <w:rPr>
          <w:b/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 xml:space="preserve"> </w:t>
      </w:r>
      <w:r w:rsidR="00B5504E">
        <w:rPr>
          <w:sz w:val="24"/>
          <w:szCs w:val="24"/>
          <w:lang w:val="uk-UA"/>
        </w:rPr>
        <w:t>З</w:t>
      </w:r>
      <w:r w:rsidR="00B5504E" w:rsidRPr="00B5504E">
        <w:rPr>
          <w:sz w:val="24"/>
          <w:szCs w:val="24"/>
          <w:lang w:val="uk-UA"/>
        </w:rPr>
        <w:t>аконодавче забезпечення порядку формування корп</w:t>
      </w:r>
      <w:r w:rsidR="00524DD2">
        <w:rPr>
          <w:sz w:val="24"/>
          <w:szCs w:val="24"/>
          <w:lang w:val="uk-UA"/>
        </w:rPr>
        <w:t>оративних амортизаційних коштів</w:t>
      </w:r>
      <w:r w:rsidR="00B5504E" w:rsidRPr="00B5504E">
        <w:rPr>
          <w:sz w:val="24"/>
          <w:szCs w:val="24"/>
          <w:lang w:val="uk-UA"/>
        </w:rPr>
        <w:t xml:space="preserve"> як додаткових фінансових ресурсів на утримання і ремонт житлового фонду</w:t>
      </w:r>
      <w:r w:rsidR="00B5504E">
        <w:rPr>
          <w:sz w:val="24"/>
          <w:szCs w:val="24"/>
          <w:lang w:val="uk-UA"/>
        </w:rPr>
        <w:t>.</w:t>
      </w:r>
    </w:p>
    <w:p w:rsidR="00C81AB0" w:rsidRDefault="00C81AB0" w:rsidP="00C81AB0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532779">
        <w:rPr>
          <w:b/>
          <w:sz w:val="26"/>
          <w:szCs w:val="26"/>
          <w:lang w:val="uk-UA"/>
        </w:rPr>
        <w:t>Спосіб досягнення:</w:t>
      </w:r>
      <w:r>
        <w:rPr>
          <w:sz w:val="26"/>
          <w:szCs w:val="26"/>
          <w:lang w:val="uk-UA"/>
        </w:rPr>
        <w:t xml:space="preserve"> </w:t>
      </w:r>
      <w:r w:rsidR="00944703">
        <w:rPr>
          <w:sz w:val="24"/>
          <w:szCs w:val="24"/>
          <w:lang w:val="uk-UA"/>
        </w:rPr>
        <w:t xml:space="preserve">Запровадження додаткових внесків </w:t>
      </w:r>
      <w:r w:rsidR="00944703" w:rsidRPr="00944703">
        <w:rPr>
          <w:sz w:val="24"/>
          <w:szCs w:val="24"/>
          <w:lang w:val="uk-UA"/>
        </w:rPr>
        <w:t xml:space="preserve">власників і мешканців квартир та жителів гуртожитків </w:t>
      </w:r>
      <w:r w:rsidR="00E07E41">
        <w:rPr>
          <w:sz w:val="24"/>
          <w:szCs w:val="24"/>
          <w:lang w:val="uk-UA"/>
        </w:rPr>
        <w:t>і</w:t>
      </w:r>
      <w:r w:rsidR="00944703" w:rsidRPr="00944703">
        <w:rPr>
          <w:sz w:val="24"/>
          <w:szCs w:val="24"/>
          <w:lang w:val="uk-UA"/>
        </w:rPr>
        <w:t xml:space="preserve">з використанням їх </w:t>
      </w:r>
      <w:r w:rsidR="00E07E41">
        <w:rPr>
          <w:sz w:val="24"/>
          <w:szCs w:val="24"/>
          <w:lang w:val="uk-UA"/>
        </w:rPr>
        <w:t>для благоустрою,</w:t>
      </w:r>
      <w:r w:rsidR="00944703" w:rsidRPr="00944703">
        <w:rPr>
          <w:sz w:val="24"/>
          <w:szCs w:val="24"/>
          <w:lang w:val="uk-UA"/>
        </w:rPr>
        <w:t xml:space="preserve"> ремонт</w:t>
      </w:r>
      <w:r w:rsidR="00E07E41">
        <w:rPr>
          <w:sz w:val="24"/>
          <w:szCs w:val="24"/>
          <w:lang w:val="uk-UA"/>
        </w:rPr>
        <w:t>у</w:t>
      </w:r>
      <w:r w:rsidR="00944703" w:rsidRPr="00944703">
        <w:rPr>
          <w:sz w:val="24"/>
          <w:szCs w:val="24"/>
          <w:lang w:val="uk-UA"/>
        </w:rPr>
        <w:t xml:space="preserve"> житлових будинків, гуртожитків, індивідуальних квартир та їхніх інженерних мереж.</w:t>
      </w:r>
    </w:p>
    <w:p w:rsidR="00524DD2" w:rsidRPr="007F0033" w:rsidRDefault="00524DD2" w:rsidP="00C81AB0">
      <w:pPr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Передбачається, що власники квартир, </w:t>
      </w:r>
      <w:proofErr w:type="spellStart"/>
      <w:r>
        <w:rPr>
          <w:sz w:val="24"/>
          <w:szCs w:val="24"/>
          <w:lang w:val="uk-UA"/>
        </w:rPr>
        <w:t>квартироутримувачі</w:t>
      </w:r>
      <w:proofErr w:type="spellEnd"/>
      <w:r>
        <w:rPr>
          <w:sz w:val="24"/>
          <w:szCs w:val="24"/>
          <w:lang w:val="uk-UA"/>
        </w:rPr>
        <w:t xml:space="preserve"> та розпорядники</w:t>
      </w:r>
      <w:r w:rsidRPr="004C7263">
        <w:rPr>
          <w:sz w:val="24"/>
          <w:szCs w:val="24"/>
          <w:lang w:val="uk-UA"/>
        </w:rPr>
        <w:t xml:space="preserve"> житлових приміщень</w:t>
      </w:r>
      <w:r>
        <w:rPr>
          <w:sz w:val="24"/>
          <w:szCs w:val="24"/>
          <w:lang w:val="uk-UA"/>
        </w:rPr>
        <w:t xml:space="preserve"> щомісячно платитимуть </w:t>
      </w:r>
      <w:proofErr w:type="spellStart"/>
      <w:r>
        <w:rPr>
          <w:sz w:val="24"/>
          <w:szCs w:val="24"/>
          <w:lang w:val="uk-UA"/>
        </w:rPr>
        <w:t>балансоотримувачу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ЖЕКу</w:t>
      </w:r>
      <w:proofErr w:type="spellEnd"/>
      <w:r>
        <w:rPr>
          <w:sz w:val="24"/>
          <w:szCs w:val="24"/>
          <w:lang w:val="uk-UA"/>
        </w:rPr>
        <w:t>) так звані внески до «к</w:t>
      </w:r>
      <w:r w:rsidRPr="00880738">
        <w:rPr>
          <w:sz w:val="24"/>
          <w:szCs w:val="24"/>
          <w:lang w:val="uk-UA"/>
        </w:rPr>
        <w:t>орпоративн</w:t>
      </w:r>
      <w:r>
        <w:rPr>
          <w:sz w:val="24"/>
          <w:szCs w:val="24"/>
          <w:lang w:val="uk-UA"/>
        </w:rPr>
        <w:t>их</w:t>
      </w:r>
      <w:r w:rsidRPr="00880738">
        <w:rPr>
          <w:sz w:val="24"/>
          <w:szCs w:val="24"/>
          <w:lang w:val="uk-UA"/>
        </w:rPr>
        <w:t xml:space="preserve"> амортизаційн</w:t>
      </w:r>
      <w:r>
        <w:rPr>
          <w:sz w:val="24"/>
          <w:szCs w:val="24"/>
          <w:lang w:val="uk-UA"/>
        </w:rPr>
        <w:t>их коштів</w:t>
      </w:r>
      <w:r w:rsidRPr="00880738">
        <w:rPr>
          <w:sz w:val="24"/>
          <w:szCs w:val="24"/>
          <w:lang w:val="uk-UA"/>
        </w:rPr>
        <w:t xml:space="preserve"> житлового фонду</w:t>
      </w:r>
      <w:r>
        <w:rPr>
          <w:sz w:val="24"/>
          <w:szCs w:val="24"/>
          <w:lang w:val="uk-UA"/>
        </w:rPr>
        <w:t xml:space="preserve">». Розмір внесків складатиме від 0,5 </w:t>
      </w:r>
      <w:proofErr w:type="spellStart"/>
      <w:r>
        <w:rPr>
          <w:sz w:val="24"/>
          <w:szCs w:val="24"/>
          <w:lang w:val="uk-UA"/>
        </w:rPr>
        <w:t>грн</w:t>
      </w:r>
      <w:proofErr w:type="spellEnd"/>
      <w:r>
        <w:rPr>
          <w:sz w:val="24"/>
          <w:szCs w:val="24"/>
          <w:lang w:val="uk-UA"/>
        </w:rPr>
        <w:t xml:space="preserve"> на 1 кв. м. Ці кошти </w:t>
      </w:r>
      <w:proofErr w:type="spellStart"/>
      <w:r>
        <w:rPr>
          <w:sz w:val="24"/>
          <w:szCs w:val="24"/>
          <w:lang w:val="uk-UA"/>
        </w:rPr>
        <w:t>балансоотримувачі</w:t>
      </w:r>
      <w:proofErr w:type="spellEnd"/>
      <w:r>
        <w:rPr>
          <w:sz w:val="24"/>
          <w:szCs w:val="24"/>
          <w:lang w:val="uk-UA"/>
        </w:rPr>
        <w:t xml:space="preserve"> використовуватимуть для поточного та капітального ремонту житлових будинків та їх інженерних мереж. </w:t>
      </w:r>
      <w:proofErr w:type="spellStart"/>
      <w:r>
        <w:rPr>
          <w:sz w:val="24"/>
          <w:szCs w:val="24"/>
          <w:lang w:val="uk-UA"/>
        </w:rPr>
        <w:t>ЖЕКи</w:t>
      </w:r>
      <w:proofErr w:type="spellEnd"/>
      <w:r>
        <w:rPr>
          <w:sz w:val="24"/>
          <w:szCs w:val="24"/>
          <w:lang w:val="uk-UA"/>
        </w:rPr>
        <w:t xml:space="preserve"> відкриватимуть рахунки у банках та зможуть розміщувати зібрані кошти на депозитні рахунки до початку ремонтних робіт. </w:t>
      </w:r>
    </w:p>
    <w:p w:rsidR="00C81AB0" w:rsidRPr="005D4B7A" w:rsidRDefault="00C81AB0" w:rsidP="00C81AB0">
      <w:pPr>
        <w:spacing w:before="120" w:after="0" w:line="240" w:lineRule="auto"/>
        <w:jc w:val="both"/>
        <w:rPr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Ризик створення корупційної схеми:</w:t>
      </w:r>
      <w:r>
        <w:rPr>
          <w:sz w:val="26"/>
          <w:szCs w:val="24"/>
          <w:lang w:val="uk-UA"/>
        </w:rPr>
        <w:t xml:space="preserve"> </w:t>
      </w:r>
      <w:r w:rsidR="00880738">
        <w:rPr>
          <w:sz w:val="24"/>
          <w:szCs w:val="24"/>
          <w:lang w:val="uk-UA"/>
        </w:rPr>
        <w:t>Наявний.</w:t>
      </w:r>
    </w:p>
    <w:p w:rsidR="003E18D9" w:rsidRDefault="00C81AB0" w:rsidP="006348B6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Яким чином може працювати корупційна схема:</w:t>
      </w:r>
      <w:r w:rsidR="00E07E41">
        <w:rPr>
          <w:b/>
          <w:i/>
          <w:sz w:val="26"/>
          <w:szCs w:val="24"/>
          <w:lang w:val="uk-UA"/>
        </w:rPr>
        <w:t xml:space="preserve"> </w:t>
      </w:r>
      <w:r w:rsidR="00DA5DB1">
        <w:rPr>
          <w:sz w:val="24"/>
          <w:szCs w:val="24"/>
          <w:lang w:val="uk-UA"/>
        </w:rPr>
        <w:t xml:space="preserve">Законопроект містить цілу низку корупційних ризиків через надання нечітких повноважень </w:t>
      </w:r>
      <w:proofErr w:type="spellStart"/>
      <w:r w:rsidR="00DA5DB1">
        <w:rPr>
          <w:sz w:val="24"/>
          <w:szCs w:val="24"/>
          <w:lang w:val="uk-UA"/>
        </w:rPr>
        <w:t>ЖЕКам</w:t>
      </w:r>
      <w:proofErr w:type="spellEnd"/>
      <w:r w:rsidR="00DA5DB1">
        <w:rPr>
          <w:sz w:val="24"/>
          <w:szCs w:val="24"/>
          <w:lang w:val="uk-UA"/>
        </w:rPr>
        <w:t xml:space="preserve">, а також прогалини у правовому регулюванні. </w:t>
      </w:r>
      <w:proofErr w:type="spellStart"/>
      <w:r w:rsidR="003E18D9">
        <w:rPr>
          <w:sz w:val="24"/>
          <w:szCs w:val="24"/>
          <w:lang w:val="uk-UA"/>
        </w:rPr>
        <w:t>ЖЕКам</w:t>
      </w:r>
      <w:proofErr w:type="spellEnd"/>
      <w:r w:rsidR="003E18D9">
        <w:rPr>
          <w:sz w:val="24"/>
          <w:szCs w:val="24"/>
          <w:lang w:val="uk-UA"/>
        </w:rPr>
        <w:t xml:space="preserve"> надаються широкі та нечіткі повноваження щодо розміщення зібраних коштів у комерційних банках та не встановлюється відповідальність за прийняті рішення. </w:t>
      </w:r>
      <w:r w:rsidR="00E07E41">
        <w:rPr>
          <w:sz w:val="24"/>
          <w:szCs w:val="24"/>
          <w:lang w:val="uk-UA"/>
        </w:rPr>
        <w:t xml:space="preserve">Законопроект також не регулює, хто є власником відсотків за депозитом та </w:t>
      </w:r>
      <w:r w:rsidR="00EA130D">
        <w:rPr>
          <w:sz w:val="24"/>
          <w:szCs w:val="24"/>
          <w:lang w:val="uk-UA"/>
        </w:rPr>
        <w:t xml:space="preserve">яким чином вони будуть використовуватися. </w:t>
      </w:r>
      <w:r w:rsidR="003E18D9">
        <w:rPr>
          <w:sz w:val="24"/>
          <w:szCs w:val="24"/>
          <w:lang w:val="uk-UA"/>
        </w:rPr>
        <w:t xml:space="preserve">Це створює підґрунтя для </w:t>
      </w:r>
      <w:r w:rsidR="00E07E41">
        <w:rPr>
          <w:sz w:val="24"/>
          <w:szCs w:val="24"/>
          <w:lang w:val="uk-UA"/>
        </w:rPr>
        <w:t xml:space="preserve">зловживань та </w:t>
      </w:r>
      <w:r w:rsidR="003E18D9">
        <w:rPr>
          <w:sz w:val="24"/>
          <w:szCs w:val="24"/>
          <w:lang w:val="uk-UA"/>
        </w:rPr>
        <w:t xml:space="preserve">отримання представниками </w:t>
      </w:r>
      <w:proofErr w:type="spellStart"/>
      <w:r w:rsidR="003E18D9">
        <w:rPr>
          <w:sz w:val="24"/>
          <w:szCs w:val="24"/>
          <w:lang w:val="uk-UA"/>
        </w:rPr>
        <w:t>ЖЕКів</w:t>
      </w:r>
      <w:proofErr w:type="spellEnd"/>
      <w:r w:rsidR="003E18D9">
        <w:rPr>
          <w:sz w:val="24"/>
          <w:szCs w:val="24"/>
          <w:lang w:val="uk-UA"/>
        </w:rPr>
        <w:t xml:space="preserve"> неправомірної вигоди</w:t>
      </w:r>
      <w:r w:rsidR="00E07E41">
        <w:rPr>
          <w:sz w:val="24"/>
          <w:szCs w:val="24"/>
          <w:lang w:val="uk-UA"/>
        </w:rPr>
        <w:t>, в тому числі,</w:t>
      </w:r>
      <w:r w:rsidR="003E18D9">
        <w:rPr>
          <w:sz w:val="24"/>
          <w:szCs w:val="24"/>
          <w:lang w:val="uk-UA"/>
        </w:rPr>
        <w:t xml:space="preserve"> з боку комерційних банків. </w:t>
      </w:r>
    </w:p>
    <w:p w:rsidR="000105A2" w:rsidRDefault="000105A2" w:rsidP="0090425D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Рішення про початок ремонтних робіт за рахунок амортизаційних коштів, а також рішення щодо перегляду розміру внесків прийматимуться на загальних зборах власників та розпорядників приміщень. </w:t>
      </w:r>
      <w:r w:rsidR="0090425D">
        <w:rPr>
          <w:sz w:val="24"/>
          <w:szCs w:val="24"/>
          <w:lang w:val="uk-UA"/>
        </w:rPr>
        <w:t xml:space="preserve">Ці збори також обиратимуть конкурсну комісію, яка визначатиме виконавця ремонтних робіт. </w:t>
      </w:r>
      <w:r>
        <w:rPr>
          <w:sz w:val="24"/>
          <w:szCs w:val="24"/>
          <w:lang w:val="uk-UA"/>
        </w:rPr>
        <w:t>Проте законопроект залишає невизначеним юридичний статус цих зборів, порядок їх проведення, можливості оскарження їх рішень. Н</w:t>
      </w:r>
      <w:r w:rsidR="0090425D">
        <w:rPr>
          <w:sz w:val="24"/>
          <w:szCs w:val="24"/>
          <w:lang w:val="uk-UA"/>
        </w:rPr>
        <w:t>евизначеним</w:t>
      </w:r>
      <w:r>
        <w:rPr>
          <w:sz w:val="24"/>
          <w:szCs w:val="24"/>
          <w:lang w:val="uk-UA"/>
        </w:rPr>
        <w:t xml:space="preserve"> залишається і статус та порядок діяльності конкурсної комісії. Це створює широке підґрунтя для різноманітних корупційних зловживань та маніпуляцій для отримання неправомірної вигоди. </w:t>
      </w:r>
    </w:p>
    <w:p w:rsidR="000105A2" w:rsidRDefault="0090425D" w:rsidP="006348B6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Крім того, місцева рада буде обраховувати та затверджувати розмір амортизаційних внесків для приміщень комерційного та загального обслуговування, та матиме право </w:t>
      </w:r>
      <w:r w:rsidR="000105A2">
        <w:rPr>
          <w:sz w:val="24"/>
          <w:szCs w:val="24"/>
          <w:lang w:val="uk-UA"/>
        </w:rPr>
        <w:t xml:space="preserve"> </w:t>
      </w:r>
      <w:r w:rsidR="00E07E41">
        <w:rPr>
          <w:sz w:val="24"/>
          <w:szCs w:val="24"/>
          <w:lang w:val="uk-UA"/>
        </w:rPr>
        <w:t xml:space="preserve">їх підвищувати. Проте законопроект не визначає порядок «обрахунку» та підстави для підвищення розміру внесків. </w:t>
      </w:r>
    </w:p>
    <w:p w:rsidR="006348B6" w:rsidRPr="006348B6" w:rsidRDefault="00C81AB0" w:rsidP="006348B6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отримувати корупційну вигоду:</w:t>
      </w:r>
      <w:r>
        <w:rPr>
          <w:b/>
          <w:i/>
          <w:sz w:val="26"/>
          <w:szCs w:val="24"/>
          <w:lang w:val="uk-UA"/>
        </w:rPr>
        <w:t xml:space="preserve"> </w:t>
      </w:r>
      <w:r w:rsidR="00E25E64" w:rsidRPr="00E25E64">
        <w:rPr>
          <w:sz w:val="24"/>
          <w:szCs w:val="24"/>
          <w:lang w:val="uk-UA"/>
        </w:rPr>
        <w:t>представники</w:t>
      </w:r>
      <w:r w:rsidR="00E25E64">
        <w:rPr>
          <w:b/>
          <w:i/>
          <w:sz w:val="26"/>
          <w:szCs w:val="24"/>
          <w:lang w:val="uk-UA"/>
        </w:rPr>
        <w:t xml:space="preserve"> </w:t>
      </w:r>
      <w:proofErr w:type="spellStart"/>
      <w:r w:rsidR="00BC2DD3">
        <w:rPr>
          <w:sz w:val="24"/>
          <w:szCs w:val="24"/>
          <w:lang w:val="uk-UA"/>
        </w:rPr>
        <w:t>балансоотримувачі</w:t>
      </w:r>
      <w:r w:rsidR="00E25E64">
        <w:rPr>
          <w:sz w:val="24"/>
          <w:szCs w:val="24"/>
          <w:lang w:val="uk-UA"/>
        </w:rPr>
        <w:t>в</w:t>
      </w:r>
      <w:proofErr w:type="spellEnd"/>
      <w:r w:rsidR="00E25E64">
        <w:rPr>
          <w:sz w:val="24"/>
          <w:szCs w:val="24"/>
          <w:lang w:val="uk-UA"/>
        </w:rPr>
        <w:t xml:space="preserve"> житлових будинків (</w:t>
      </w:r>
      <w:proofErr w:type="spellStart"/>
      <w:r w:rsidR="00E25E64">
        <w:rPr>
          <w:sz w:val="24"/>
          <w:szCs w:val="24"/>
          <w:lang w:val="uk-UA"/>
        </w:rPr>
        <w:t>ЖЕКів</w:t>
      </w:r>
      <w:proofErr w:type="spellEnd"/>
      <w:r w:rsidR="00BC2DD3">
        <w:rPr>
          <w:sz w:val="24"/>
          <w:szCs w:val="24"/>
          <w:lang w:val="uk-UA"/>
        </w:rPr>
        <w:t>)</w:t>
      </w:r>
      <w:r w:rsidR="002C09F8">
        <w:rPr>
          <w:sz w:val="24"/>
          <w:szCs w:val="24"/>
          <w:lang w:val="uk-UA"/>
        </w:rPr>
        <w:t>;</w:t>
      </w:r>
      <w:r w:rsidR="00BC2DD3">
        <w:rPr>
          <w:sz w:val="24"/>
          <w:szCs w:val="24"/>
          <w:lang w:val="uk-UA"/>
        </w:rPr>
        <w:t xml:space="preserve"> депутати місцевих рад</w:t>
      </w:r>
      <w:r w:rsidR="002C09F8">
        <w:rPr>
          <w:sz w:val="24"/>
          <w:szCs w:val="24"/>
          <w:lang w:val="uk-UA"/>
        </w:rPr>
        <w:t>;</w:t>
      </w:r>
      <w:r w:rsidR="00BC2DD3">
        <w:rPr>
          <w:sz w:val="24"/>
          <w:szCs w:val="24"/>
          <w:lang w:val="uk-UA"/>
        </w:rPr>
        <w:t xml:space="preserve"> </w:t>
      </w:r>
      <w:proofErr w:type="spellStart"/>
      <w:r w:rsidR="00BC2DD3">
        <w:rPr>
          <w:sz w:val="24"/>
          <w:szCs w:val="24"/>
          <w:lang w:val="uk-UA"/>
        </w:rPr>
        <w:t>високопосадовці</w:t>
      </w:r>
      <w:proofErr w:type="spellEnd"/>
      <w:r w:rsidR="00BC2DD3">
        <w:rPr>
          <w:sz w:val="24"/>
          <w:szCs w:val="24"/>
          <w:lang w:val="uk-UA"/>
        </w:rPr>
        <w:t xml:space="preserve">, </w:t>
      </w:r>
      <w:r w:rsidR="002C09F8">
        <w:rPr>
          <w:sz w:val="24"/>
          <w:szCs w:val="24"/>
          <w:lang w:val="uk-UA"/>
        </w:rPr>
        <w:t>що</w:t>
      </w:r>
      <w:r w:rsidR="00BC2DD3">
        <w:rPr>
          <w:sz w:val="24"/>
          <w:szCs w:val="24"/>
          <w:lang w:val="uk-UA"/>
        </w:rPr>
        <w:t xml:space="preserve"> мають вплив на систему ЖКГ</w:t>
      </w:r>
      <w:r w:rsidR="002C09F8">
        <w:rPr>
          <w:sz w:val="24"/>
          <w:szCs w:val="24"/>
          <w:lang w:val="uk-UA"/>
        </w:rPr>
        <w:t xml:space="preserve"> України</w:t>
      </w:r>
    </w:p>
    <w:p w:rsidR="00C81AB0" w:rsidRPr="005D4B7A" w:rsidRDefault="00C81AB0" w:rsidP="00C81AB0">
      <w:pPr>
        <w:spacing w:before="120" w:after="0" w:line="240" w:lineRule="auto"/>
        <w:ind w:right="-711"/>
        <w:rPr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Оцінка обсягу корупційної вигоди:</w:t>
      </w:r>
      <w:r w:rsidRPr="005D4B7A">
        <w:rPr>
          <w:sz w:val="26"/>
          <w:szCs w:val="24"/>
          <w:lang w:val="uk-UA"/>
        </w:rPr>
        <w:t xml:space="preserve"> </w:t>
      </w:r>
      <w:r w:rsidRPr="001E42A5">
        <w:rPr>
          <w:sz w:val="24"/>
          <w:szCs w:val="24"/>
          <w:lang w:val="uk-UA"/>
        </w:rPr>
        <w:t>на стадії оцінки</w:t>
      </w:r>
      <w:r w:rsidRPr="005D4B7A">
        <w:rPr>
          <w:sz w:val="26"/>
          <w:szCs w:val="24"/>
          <w:lang w:val="uk-UA"/>
        </w:rPr>
        <w:t xml:space="preserve">  </w:t>
      </w:r>
    </w:p>
    <w:p w:rsidR="00C81AB0" w:rsidRPr="00A32E38" w:rsidRDefault="00C81AB0" w:rsidP="00C81AB0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платитиме корупційні внески:</w:t>
      </w:r>
      <w:r>
        <w:rPr>
          <w:b/>
          <w:i/>
          <w:sz w:val="26"/>
          <w:szCs w:val="24"/>
          <w:lang w:val="uk-UA"/>
        </w:rPr>
        <w:t xml:space="preserve"> </w:t>
      </w:r>
      <w:r w:rsidR="00BC2DD3">
        <w:rPr>
          <w:sz w:val="24"/>
          <w:szCs w:val="24"/>
          <w:lang w:val="uk-UA"/>
        </w:rPr>
        <w:t>комерційні банки</w:t>
      </w:r>
      <w:r w:rsidR="000360DA">
        <w:rPr>
          <w:sz w:val="24"/>
          <w:szCs w:val="24"/>
          <w:lang w:val="uk-UA"/>
        </w:rPr>
        <w:t xml:space="preserve">, які прагнуть залучити кошти на </w:t>
      </w:r>
      <w:r w:rsidR="00D8669C">
        <w:rPr>
          <w:sz w:val="24"/>
          <w:szCs w:val="24"/>
          <w:lang w:val="uk-UA"/>
        </w:rPr>
        <w:t xml:space="preserve">власний </w:t>
      </w:r>
      <w:r w:rsidR="000360DA">
        <w:rPr>
          <w:sz w:val="24"/>
          <w:szCs w:val="24"/>
          <w:lang w:val="uk-UA"/>
        </w:rPr>
        <w:t>депозит</w:t>
      </w:r>
      <w:r w:rsidR="00D8669C">
        <w:rPr>
          <w:sz w:val="24"/>
          <w:szCs w:val="24"/>
          <w:lang w:val="uk-UA"/>
        </w:rPr>
        <w:t>ний рахунок</w:t>
      </w:r>
      <w:r w:rsidR="00E07E41">
        <w:rPr>
          <w:sz w:val="24"/>
          <w:szCs w:val="24"/>
          <w:lang w:val="uk-UA"/>
        </w:rPr>
        <w:t xml:space="preserve">; власники та мешканці квартир, гуртожитків; </w:t>
      </w:r>
      <w:r w:rsidR="00E25E64">
        <w:rPr>
          <w:sz w:val="24"/>
          <w:szCs w:val="24"/>
          <w:lang w:val="uk-UA"/>
        </w:rPr>
        <w:t xml:space="preserve">представники </w:t>
      </w:r>
      <w:r w:rsidR="00E07E41">
        <w:rPr>
          <w:sz w:val="24"/>
          <w:szCs w:val="24"/>
          <w:lang w:val="uk-UA"/>
        </w:rPr>
        <w:t>бізнес</w:t>
      </w:r>
      <w:r w:rsidR="00E25E64">
        <w:rPr>
          <w:sz w:val="24"/>
          <w:szCs w:val="24"/>
          <w:lang w:val="uk-UA"/>
        </w:rPr>
        <w:t>у</w:t>
      </w:r>
      <w:r w:rsidR="00E07E41">
        <w:rPr>
          <w:sz w:val="24"/>
          <w:szCs w:val="24"/>
          <w:lang w:val="uk-UA"/>
        </w:rPr>
        <w:t xml:space="preserve"> </w:t>
      </w:r>
    </w:p>
    <w:p w:rsidR="00C81AB0" w:rsidRPr="005D4B7A" w:rsidRDefault="00C81AB0" w:rsidP="00C81AB0">
      <w:pPr>
        <w:pStyle w:val="1"/>
        <w:spacing w:before="120" w:after="0" w:line="240" w:lineRule="auto"/>
        <w:ind w:left="0" w:right="-711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Втрати та жертви </w:t>
      </w:r>
    </w:p>
    <w:p w:rsidR="002C09F8" w:rsidRPr="00E07E41" w:rsidRDefault="00C81AB0" w:rsidP="00E07E41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1E42A5">
        <w:rPr>
          <w:sz w:val="24"/>
          <w:szCs w:val="24"/>
          <w:lang w:val="uk-UA"/>
        </w:rPr>
        <w:t xml:space="preserve">Ключові </w:t>
      </w:r>
      <w:r w:rsidRPr="001E42A5">
        <w:rPr>
          <w:b/>
          <w:i/>
          <w:sz w:val="24"/>
          <w:szCs w:val="24"/>
          <w:lang w:val="uk-UA"/>
        </w:rPr>
        <w:t>негативні наслідки</w:t>
      </w:r>
      <w:r w:rsidRPr="001E42A5">
        <w:rPr>
          <w:sz w:val="24"/>
          <w:szCs w:val="24"/>
          <w:lang w:val="uk-UA"/>
        </w:rPr>
        <w:t xml:space="preserve">: </w:t>
      </w:r>
      <w:r w:rsidR="002C09F8" w:rsidRPr="00E07E41">
        <w:rPr>
          <w:sz w:val="24"/>
          <w:szCs w:val="24"/>
          <w:lang w:val="uk-UA"/>
        </w:rPr>
        <w:t>Погіршення матеріального стану населення/бізнесу внаслідок зростання витрат на обслуговування квартир/житлових приміщень</w:t>
      </w:r>
      <w:r w:rsidR="002711DC" w:rsidRPr="00E07E41">
        <w:rPr>
          <w:sz w:val="24"/>
          <w:szCs w:val="24"/>
          <w:lang w:val="uk-UA"/>
        </w:rPr>
        <w:t>;</w:t>
      </w:r>
      <w:r w:rsidR="00E07E41" w:rsidRPr="00E07E41">
        <w:rPr>
          <w:sz w:val="24"/>
          <w:szCs w:val="24"/>
          <w:lang w:val="uk-UA"/>
        </w:rPr>
        <w:t xml:space="preserve"> з</w:t>
      </w:r>
      <w:r w:rsidR="002711DC" w:rsidRPr="00E07E41">
        <w:rPr>
          <w:sz w:val="24"/>
          <w:szCs w:val="24"/>
          <w:lang w:val="uk-UA"/>
        </w:rPr>
        <w:t>ростання собівартості продукції для бізнесу</w:t>
      </w:r>
      <w:r w:rsidR="00E07E41">
        <w:rPr>
          <w:sz w:val="24"/>
          <w:szCs w:val="24"/>
          <w:lang w:val="uk-UA"/>
        </w:rPr>
        <w:t>; з</w:t>
      </w:r>
      <w:r w:rsidR="002C09F8" w:rsidRPr="00E07E41">
        <w:rPr>
          <w:sz w:val="24"/>
          <w:szCs w:val="24"/>
          <w:lang w:val="uk-UA"/>
        </w:rPr>
        <w:t>ростання соціальної напруги у суспільстві</w:t>
      </w:r>
      <w:r w:rsidR="002711DC" w:rsidRPr="00E07E41">
        <w:rPr>
          <w:sz w:val="24"/>
          <w:szCs w:val="24"/>
          <w:lang w:val="uk-UA"/>
        </w:rPr>
        <w:t>.</w:t>
      </w:r>
    </w:p>
    <w:p w:rsidR="00C81AB0" w:rsidRPr="00A32E38" w:rsidRDefault="00C81AB0" w:rsidP="00C81AB0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lastRenderedPageBreak/>
        <w:t>Хто може потерпати від корупційної схеми:</w:t>
      </w:r>
      <w:r>
        <w:rPr>
          <w:b/>
          <w:i/>
          <w:sz w:val="26"/>
          <w:szCs w:val="24"/>
          <w:lang w:val="uk-UA"/>
        </w:rPr>
        <w:t xml:space="preserve"> </w:t>
      </w:r>
      <w:r w:rsidR="00E07E41">
        <w:rPr>
          <w:sz w:val="24"/>
          <w:szCs w:val="24"/>
          <w:lang w:val="uk-UA"/>
        </w:rPr>
        <w:t xml:space="preserve">громадяни України, </w:t>
      </w:r>
      <w:r w:rsidR="002C09F8">
        <w:rPr>
          <w:sz w:val="24"/>
          <w:szCs w:val="24"/>
          <w:lang w:val="uk-UA"/>
        </w:rPr>
        <w:t>власники</w:t>
      </w:r>
      <w:r w:rsidR="00E07E41">
        <w:rPr>
          <w:sz w:val="24"/>
          <w:szCs w:val="24"/>
          <w:lang w:val="uk-UA"/>
        </w:rPr>
        <w:t>, мешканці</w:t>
      </w:r>
      <w:r w:rsidR="002C09F8">
        <w:rPr>
          <w:sz w:val="24"/>
          <w:szCs w:val="24"/>
          <w:lang w:val="uk-UA"/>
        </w:rPr>
        <w:t xml:space="preserve"> квартир</w:t>
      </w:r>
      <w:r w:rsidR="00E07E41">
        <w:rPr>
          <w:sz w:val="24"/>
          <w:szCs w:val="24"/>
          <w:lang w:val="uk-UA"/>
        </w:rPr>
        <w:t>, гуртожитків</w:t>
      </w:r>
      <w:r w:rsidR="002C09F8">
        <w:rPr>
          <w:sz w:val="24"/>
          <w:szCs w:val="24"/>
          <w:lang w:val="uk-UA"/>
        </w:rPr>
        <w:t>; представники бізнесу</w:t>
      </w:r>
    </w:p>
    <w:p w:rsidR="006348B6" w:rsidRDefault="00C81AB0" w:rsidP="006348B6">
      <w:pPr>
        <w:pStyle w:val="1"/>
        <w:numPr>
          <w:ilvl w:val="0"/>
          <w:numId w:val="1"/>
        </w:numPr>
        <w:spacing w:before="120" w:after="0" w:line="240" w:lineRule="auto"/>
        <w:ind w:left="0" w:right="-711"/>
        <w:jc w:val="both"/>
        <w:rPr>
          <w:sz w:val="24"/>
          <w:szCs w:val="24"/>
          <w:lang w:val="uk-UA"/>
        </w:rPr>
      </w:pPr>
      <w:r w:rsidRPr="00F77CD0">
        <w:rPr>
          <w:b/>
          <w:sz w:val="26"/>
          <w:szCs w:val="24"/>
          <w:lang w:val="uk-UA"/>
        </w:rPr>
        <w:t>Висновки та рекомендації:</w:t>
      </w:r>
      <w:r w:rsidRPr="00F77CD0">
        <w:rPr>
          <w:sz w:val="26"/>
          <w:szCs w:val="24"/>
          <w:lang w:val="uk-UA"/>
        </w:rPr>
        <w:t xml:space="preserve"> </w:t>
      </w:r>
    </w:p>
    <w:p w:rsidR="00E25E64" w:rsidRDefault="00E25E64" w:rsidP="00F955F4">
      <w:pPr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Сама і</w:t>
      </w:r>
      <w:r w:rsidR="00F955F4" w:rsidRPr="00F955F4">
        <w:rPr>
          <w:sz w:val="24"/>
          <w:szCs w:val="24"/>
          <w:lang w:val="uk-UA"/>
        </w:rPr>
        <w:t xml:space="preserve">дея законопроекту </w:t>
      </w:r>
      <w:r>
        <w:rPr>
          <w:sz w:val="24"/>
          <w:szCs w:val="24"/>
          <w:lang w:val="uk-UA"/>
        </w:rPr>
        <w:t xml:space="preserve">має корупційний потенціал, оскільки не стосується реформування системи житлово-комунальної сфери та повноважень відповідних органів влади, а лише запроваджує додатковий платіж для </w:t>
      </w:r>
      <w:r w:rsidR="00F955F4" w:rsidRPr="00F955F4">
        <w:rPr>
          <w:sz w:val="24"/>
          <w:szCs w:val="24"/>
          <w:lang w:val="uk-UA"/>
        </w:rPr>
        <w:t xml:space="preserve">власників квартир, </w:t>
      </w:r>
      <w:proofErr w:type="spellStart"/>
      <w:r w:rsidR="00F955F4" w:rsidRPr="00F955F4">
        <w:rPr>
          <w:sz w:val="24"/>
          <w:szCs w:val="24"/>
          <w:lang w:val="uk-UA"/>
        </w:rPr>
        <w:t>квартироутримувачів</w:t>
      </w:r>
      <w:proofErr w:type="spellEnd"/>
      <w:r w:rsidR="00F955F4" w:rsidRPr="00F955F4">
        <w:rPr>
          <w:sz w:val="24"/>
          <w:szCs w:val="24"/>
          <w:lang w:val="uk-UA"/>
        </w:rPr>
        <w:t xml:space="preserve"> та розпорядників житлових приміщень</w:t>
      </w:r>
      <w:r>
        <w:rPr>
          <w:sz w:val="24"/>
          <w:szCs w:val="24"/>
          <w:lang w:val="uk-UA"/>
        </w:rPr>
        <w:t xml:space="preserve">. </w:t>
      </w:r>
    </w:p>
    <w:p w:rsidR="00F955F4" w:rsidRPr="00F955F4" w:rsidRDefault="00E25E64" w:rsidP="00E25E64">
      <w:pPr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Невизначеність процедур з розпорядження коштами громадян та бізнесу, зокрема, з боку </w:t>
      </w:r>
      <w:proofErr w:type="spellStart"/>
      <w:r>
        <w:rPr>
          <w:sz w:val="24"/>
          <w:szCs w:val="24"/>
          <w:lang w:val="uk-UA"/>
        </w:rPr>
        <w:t>ЖЕКів</w:t>
      </w:r>
      <w:proofErr w:type="spellEnd"/>
      <w:r>
        <w:rPr>
          <w:sz w:val="24"/>
          <w:szCs w:val="24"/>
          <w:lang w:val="uk-UA"/>
        </w:rPr>
        <w:t xml:space="preserve">, створює серйозні ризики для корупційних зловживань. </w:t>
      </w:r>
    </w:p>
    <w:p w:rsidR="00F955F4" w:rsidRPr="00F955F4" w:rsidRDefault="00F955F4" w:rsidP="00F955F4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F955F4">
        <w:rPr>
          <w:sz w:val="24"/>
          <w:szCs w:val="24"/>
          <w:lang w:val="uk-UA"/>
        </w:rPr>
        <w:t xml:space="preserve">Потрібно </w:t>
      </w:r>
      <w:r w:rsidR="00E25E64">
        <w:rPr>
          <w:sz w:val="24"/>
          <w:szCs w:val="24"/>
          <w:lang w:val="uk-UA"/>
        </w:rPr>
        <w:t xml:space="preserve">наголосити, </w:t>
      </w:r>
      <w:r w:rsidRPr="00F955F4">
        <w:rPr>
          <w:sz w:val="24"/>
          <w:szCs w:val="24"/>
          <w:lang w:val="uk-UA"/>
        </w:rPr>
        <w:t xml:space="preserve">що у разі прийняття законопроекту існує </w:t>
      </w:r>
      <w:r w:rsidR="00E25E64">
        <w:rPr>
          <w:sz w:val="24"/>
          <w:szCs w:val="24"/>
          <w:lang w:val="uk-UA"/>
        </w:rPr>
        <w:t xml:space="preserve">перспектива </w:t>
      </w:r>
      <w:r w:rsidRPr="00F955F4">
        <w:rPr>
          <w:sz w:val="24"/>
          <w:szCs w:val="24"/>
          <w:lang w:val="uk-UA"/>
        </w:rPr>
        <w:t xml:space="preserve">створення корупційної схеми в рамках всієї України, оскільки більша частина населення України є власниками квартир чи інших житлових приміщень. </w:t>
      </w:r>
      <w:r w:rsidR="00E25E64">
        <w:rPr>
          <w:sz w:val="24"/>
          <w:szCs w:val="24"/>
          <w:lang w:val="uk-UA"/>
        </w:rPr>
        <w:t xml:space="preserve">Як наслідок, </w:t>
      </w:r>
      <w:r w:rsidRPr="00F955F4">
        <w:rPr>
          <w:sz w:val="24"/>
          <w:szCs w:val="24"/>
          <w:lang w:val="uk-UA"/>
        </w:rPr>
        <w:t xml:space="preserve">постраждалими </w:t>
      </w:r>
      <w:r w:rsidR="00E25E64">
        <w:rPr>
          <w:sz w:val="24"/>
          <w:szCs w:val="24"/>
          <w:lang w:val="uk-UA"/>
        </w:rPr>
        <w:t xml:space="preserve">від </w:t>
      </w:r>
      <w:r w:rsidRPr="00F955F4">
        <w:rPr>
          <w:sz w:val="24"/>
          <w:szCs w:val="24"/>
          <w:lang w:val="uk-UA"/>
        </w:rPr>
        <w:t>корупційних зловживань може бути більшість громадян України.</w:t>
      </w:r>
    </w:p>
    <w:p w:rsidR="00F955F4" w:rsidRPr="00F955F4" w:rsidRDefault="00F955F4" w:rsidP="00F955F4">
      <w:pPr>
        <w:spacing w:before="120" w:after="0" w:line="240" w:lineRule="auto"/>
        <w:jc w:val="center"/>
        <w:rPr>
          <w:b/>
          <w:sz w:val="26"/>
          <w:szCs w:val="26"/>
          <w:lang w:val="uk-UA"/>
        </w:rPr>
      </w:pPr>
      <w:r w:rsidRPr="00F955F4">
        <w:rPr>
          <w:b/>
          <w:sz w:val="26"/>
          <w:szCs w:val="26"/>
          <w:lang w:val="uk-UA"/>
        </w:rPr>
        <w:t>З урахуванням цього висновку, Громадська експертна рада рекомендує відхилити законопроект.</w:t>
      </w:r>
    </w:p>
    <w:p w:rsidR="00E02E0C" w:rsidRDefault="00E02E0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310A31" w:rsidRPr="00E86BE6" w:rsidRDefault="00310A31" w:rsidP="00310A31">
      <w:pPr>
        <w:pStyle w:val="a5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  <w:lang w:val="uk-UA"/>
        </w:rPr>
      </w:pPr>
      <w:r w:rsidRPr="00E86BE6">
        <w:rPr>
          <w:b/>
          <w:sz w:val="26"/>
          <w:szCs w:val="26"/>
          <w:lang w:val="uk-UA"/>
        </w:rPr>
        <w:lastRenderedPageBreak/>
        <w:t>Детальний виклад результатів громадської антикорупційної експертизи</w:t>
      </w:r>
    </w:p>
    <w:p w:rsidR="00310A31" w:rsidRPr="00FB786E" w:rsidRDefault="00310A31" w:rsidP="00310A31">
      <w:pPr>
        <w:pStyle w:val="1"/>
        <w:numPr>
          <w:ilvl w:val="0"/>
          <w:numId w:val="1"/>
        </w:numPr>
        <w:rPr>
          <w:b/>
          <w:sz w:val="26"/>
          <w:szCs w:val="26"/>
          <w:lang w:val="uk-UA"/>
        </w:rPr>
      </w:pPr>
      <w:r w:rsidRPr="00FB786E">
        <w:rPr>
          <w:b/>
          <w:sz w:val="26"/>
          <w:szCs w:val="26"/>
          <w:lang w:val="uk-UA"/>
        </w:rPr>
        <w:t xml:space="preserve">Задекларована суть законопроекту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4673"/>
      </w:tblGrid>
      <w:tr w:rsidR="00310A31" w:rsidRPr="00E30001" w:rsidTr="00C1598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31" w:rsidRPr="00FB786E" w:rsidRDefault="00310A31" w:rsidP="00C15989">
            <w:pPr>
              <w:spacing w:after="0" w:line="240" w:lineRule="auto"/>
              <w:jc w:val="center"/>
              <w:rPr>
                <w:b/>
                <w:sz w:val="26"/>
                <w:szCs w:val="24"/>
                <w:lang w:val="uk-UA"/>
              </w:rPr>
            </w:pPr>
            <w:r w:rsidRPr="00FB786E">
              <w:rPr>
                <w:b/>
                <w:sz w:val="26"/>
                <w:szCs w:val="24"/>
                <w:lang w:val="uk-UA"/>
              </w:rPr>
              <w:t>Ціль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31" w:rsidRPr="00FB786E" w:rsidRDefault="00310A31" w:rsidP="00C15989">
            <w:pPr>
              <w:spacing w:after="0" w:line="240" w:lineRule="auto"/>
              <w:jc w:val="center"/>
              <w:rPr>
                <w:b/>
                <w:sz w:val="26"/>
                <w:szCs w:val="24"/>
                <w:lang w:val="uk-UA"/>
              </w:rPr>
            </w:pPr>
            <w:r w:rsidRPr="00FB786E">
              <w:rPr>
                <w:b/>
                <w:sz w:val="26"/>
                <w:szCs w:val="24"/>
                <w:lang w:val="uk-UA"/>
              </w:rPr>
              <w:t>Спосіб досягнення</w:t>
            </w:r>
          </w:p>
        </w:tc>
      </w:tr>
      <w:tr w:rsidR="00E02E0C" w:rsidRPr="0066389E" w:rsidTr="00C1598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0C" w:rsidRPr="00196B6C" w:rsidRDefault="005C5683" w:rsidP="00C1598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B5504E">
              <w:rPr>
                <w:sz w:val="24"/>
                <w:szCs w:val="24"/>
                <w:lang w:val="uk-UA"/>
              </w:rPr>
              <w:t>аконодавче забезпечення порядку формування корпоративних амортизаційних коштів, як додаткових фінансових ресурсів на утримання і ремонт житлового фонду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0C" w:rsidRPr="00196B6C" w:rsidRDefault="005C5683" w:rsidP="00C1598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Запровадження додаткових внесків </w:t>
            </w:r>
            <w:r w:rsidRPr="00944703">
              <w:rPr>
                <w:sz w:val="24"/>
                <w:szCs w:val="24"/>
                <w:lang w:val="uk-UA"/>
              </w:rPr>
              <w:t>власників і мешканців квартир та жителів гуртожитків з використанням їх виключно за прямим призначенням – на благоустрій і ремонт житлових будинків, гуртожитків, індивідуальних квартир та їхніх інженерних мереж.</w:t>
            </w:r>
          </w:p>
        </w:tc>
      </w:tr>
    </w:tbl>
    <w:p w:rsidR="00310A31" w:rsidRDefault="00310A31" w:rsidP="00310A31">
      <w:pPr>
        <w:pStyle w:val="1"/>
        <w:numPr>
          <w:ilvl w:val="0"/>
          <w:numId w:val="1"/>
        </w:numPr>
        <w:spacing w:before="120" w:after="120" w:line="240" w:lineRule="auto"/>
        <w:ind w:left="714" w:hanging="357"/>
        <w:rPr>
          <w:b/>
          <w:sz w:val="26"/>
          <w:szCs w:val="24"/>
          <w:lang w:val="uk-UA"/>
        </w:rPr>
      </w:pPr>
      <w:proofErr w:type="spellStart"/>
      <w:r>
        <w:rPr>
          <w:b/>
          <w:sz w:val="26"/>
          <w:szCs w:val="24"/>
          <w:lang w:val="uk-UA"/>
        </w:rPr>
        <w:t>Корупціогенні</w:t>
      </w:r>
      <w:proofErr w:type="spellEnd"/>
      <w:r>
        <w:rPr>
          <w:b/>
          <w:sz w:val="26"/>
          <w:szCs w:val="24"/>
          <w:lang w:val="uk-UA"/>
        </w:rPr>
        <w:t xml:space="preserve"> чинники та норми</w:t>
      </w:r>
    </w:p>
    <w:tbl>
      <w:tblPr>
        <w:tblStyle w:val="a4"/>
        <w:tblW w:w="0" w:type="auto"/>
        <w:tblLook w:val="04A0"/>
      </w:tblPr>
      <w:tblGrid>
        <w:gridCol w:w="402"/>
        <w:gridCol w:w="6936"/>
        <w:gridCol w:w="2233"/>
      </w:tblGrid>
      <w:tr w:rsidR="00310A31" w:rsidTr="00C15989">
        <w:trPr>
          <w:cnfStyle w:val="100000000000"/>
        </w:trPr>
        <w:tc>
          <w:tcPr>
            <w:cnfStyle w:val="001000000000"/>
            <w:tcW w:w="402" w:type="dxa"/>
          </w:tcPr>
          <w:p w:rsidR="00310A31" w:rsidRPr="001E2478" w:rsidRDefault="00310A31" w:rsidP="00C15989">
            <w:pPr>
              <w:jc w:val="center"/>
              <w:rPr>
                <w:b w:val="0"/>
                <w:i/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</w:tcPr>
          <w:p w:rsidR="00310A31" w:rsidRPr="001E2478" w:rsidRDefault="00310A31" w:rsidP="00C15989">
            <w:pPr>
              <w:jc w:val="center"/>
              <w:cnfStyle w:val="100000000000"/>
              <w:rPr>
                <w:b w:val="0"/>
                <w:i/>
                <w:sz w:val="24"/>
                <w:szCs w:val="24"/>
                <w:lang w:val="uk-UA"/>
              </w:rPr>
            </w:pPr>
            <w:r w:rsidRPr="001E2478">
              <w:rPr>
                <w:i/>
                <w:sz w:val="24"/>
                <w:szCs w:val="24"/>
                <w:lang w:val="uk-UA"/>
              </w:rPr>
              <w:t>Корупціогенний чинник</w:t>
            </w:r>
          </w:p>
        </w:tc>
        <w:tc>
          <w:tcPr>
            <w:tcW w:w="2233" w:type="dxa"/>
          </w:tcPr>
          <w:p w:rsidR="00310A31" w:rsidRPr="001E2478" w:rsidRDefault="00310A31" w:rsidP="00C15989">
            <w:pPr>
              <w:jc w:val="center"/>
              <w:cnfStyle w:val="100000000000"/>
              <w:rPr>
                <w:b w:val="0"/>
                <w:i/>
                <w:sz w:val="24"/>
                <w:szCs w:val="24"/>
                <w:lang w:val="uk-UA"/>
              </w:rPr>
            </w:pPr>
            <w:r w:rsidRPr="001E2478">
              <w:rPr>
                <w:i/>
                <w:sz w:val="24"/>
                <w:szCs w:val="24"/>
                <w:lang w:val="uk-UA"/>
              </w:rPr>
              <w:t>Кількість норм</w:t>
            </w:r>
          </w:p>
        </w:tc>
      </w:tr>
      <w:tr w:rsidR="00310A31" w:rsidTr="00C15989">
        <w:trPr>
          <w:cnfStyle w:val="000000100000"/>
        </w:trPr>
        <w:tc>
          <w:tcPr>
            <w:cnfStyle w:val="001000000000"/>
            <w:tcW w:w="402" w:type="dxa"/>
          </w:tcPr>
          <w:p w:rsidR="00310A31" w:rsidRPr="005A5802" w:rsidRDefault="00310A31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6936" w:type="dxa"/>
          </w:tcPr>
          <w:p w:rsidR="00310A31" w:rsidRPr="001E2478" w:rsidRDefault="00310A31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Широта адміністративного розсуду та дискреційні повноваження (нечітке визначення функцій, прав, обов'язків і відповідальності органів влади)</w:t>
            </w:r>
          </w:p>
        </w:tc>
        <w:tc>
          <w:tcPr>
            <w:tcW w:w="2233" w:type="dxa"/>
          </w:tcPr>
          <w:p w:rsidR="00310A31" w:rsidRPr="00E25E64" w:rsidRDefault="00310A31" w:rsidP="00C15989">
            <w:pPr>
              <w:jc w:val="center"/>
              <w:cnfStyle w:val="000000100000"/>
              <w:rPr>
                <w:b/>
                <w:sz w:val="24"/>
                <w:szCs w:val="24"/>
                <w:lang w:val="uk-UA"/>
              </w:rPr>
            </w:pPr>
            <w:r w:rsidRPr="00E25E64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310A31" w:rsidTr="00C15989">
        <w:tc>
          <w:tcPr>
            <w:cnfStyle w:val="001000000000"/>
            <w:tcW w:w="402" w:type="dxa"/>
          </w:tcPr>
          <w:p w:rsidR="00310A31" w:rsidRPr="005A5802" w:rsidRDefault="00310A31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6936" w:type="dxa"/>
          </w:tcPr>
          <w:p w:rsidR="00310A31" w:rsidRPr="001E2478" w:rsidRDefault="00310A31" w:rsidP="00C15989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Порушення балансу інтересів та надмірні обтяження для одержувачів публічних послуг</w:t>
            </w:r>
          </w:p>
        </w:tc>
        <w:tc>
          <w:tcPr>
            <w:tcW w:w="2233" w:type="dxa"/>
          </w:tcPr>
          <w:p w:rsidR="00310A31" w:rsidRPr="00374923" w:rsidRDefault="00310A31" w:rsidP="00C15989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310A31" w:rsidTr="00C15989">
        <w:trPr>
          <w:cnfStyle w:val="000000100000"/>
        </w:trPr>
        <w:tc>
          <w:tcPr>
            <w:cnfStyle w:val="001000000000"/>
            <w:tcW w:w="402" w:type="dxa"/>
          </w:tcPr>
          <w:p w:rsidR="00310A31" w:rsidRPr="005A5802" w:rsidRDefault="00310A31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6" w:type="dxa"/>
          </w:tcPr>
          <w:p w:rsidR="00310A31" w:rsidRPr="001E2478" w:rsidRDefault="00310A31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Прогалини правового регулювання</w:t>
            </w:r>
          </w:p>
        </w:tc>
        <w:tc>
          <w:tcPr>
            <w:tcW w:w="2233" w:type="dxa"/>
          </w:tcPr>
          <w:p w:rsidR="00310A31" w:rsidRPr="00E25E64" w:rsidRDefault="00E13FF4" w:rsidP="00C15989">
            <w:pPr>
              <w:jc w:val="center"/>
              <w:cnfStyle w:val="000000100000"/>
              <w:rPr>
                <w:b/>
                <w:sz w:val="24"/>
                <w:szCs w:val="24"/>
                <w:lang w:val="uk-UA"/>
              </w:rPr>
            </w:pPr>
            <w:r w:rsidRPr="00E25E64"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310A31" w:rsidTr="00C15989">
        <w:tc>
          <w:tcPr>
            <w:cnfStyle w:val="001000000000"/>
            <w:tcW w:w="402" w:type="dxa"/>
          </w:tcPr>
          <w:p w:rsidR="00310A31" w:rsidRPr="005A5802" w:rsidRDefault="00310A31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6936" w:type="dxa"/>
          </w:tcPr>
          <w:p w:rsidR="00310A31" w:rsidRPr="001E2478" w:rsidRDefault="00310A31" w:rsidP="00C15989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Колізії в законодавстві</w:t>
            </w:r>
          </w:p>
        </w:tc>
        <w:tc>
          <w:tcPr>
            <w:tcW w:w="2233" w:type="dxa"/>
          </w:tcPr>
          <w:p w:rsidR="00310A31" w:rsidRPr="00374923" w:rsidRDefault="00E02E0C" w:rsidP="00C15989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310A31" w:rsidTr="00C15989">
        <w:trPr>
          <w:cnfStyle w:val="000000100000"/>
        </w:trPr>
        <w:tc>
          <w:tcPr>
            <w:cnfStyle w:val="001000000000"/>
            <w:tcW w:w="402" w:type="dxa"/>
          </w:tcPr>
          <w:p w:rsidR="00310A31" w:rsidRPr="005A5802" w:rsidRDefault="00310A31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6936" w:type="dxa"/>
          </w:tcPr>
          <w:p w:rsidR="00310A31" w:rsidRPr="001E2478" w:rsidRDefault="00310A31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Надмірна кількість контактів приватного сектору з органами влади, необхідних для виконання процедури</w:t>
            </w:r>
          </w:p>
        </w:tc>
        <w:tc>
          <w:tcPr>
            <w:tcW w:w="2233" w:type="dxa"/>
          </w:tcPr>
          <w:p w:rsidR="00310A31" w:rsidRPr="00374923" w:rsidRDefault="00E02E0C" w:rsidP="00C15989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310A31" w:rsidTr="00C15989">
        <w:tc>
          <w:tcPr>
            <w:cnfStyle w:val="001000000000"/>
            <w:tcW w:w="402" w:type="dxa"/>
          </w:tcPr>
          <w:p w:rsidR="00310A31" w:rsidRPr="005A5802" w:rsidRDefault="00310A31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6936" w:type="dxa"/>
          </w:tcPr>
          <w:p w:rsidR="00310A31" w:rsidRPr="001E2478" w:rsidRDefault="00310A31" w:rsidP="00C15989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Надмірна кількість органів влади, з якими має контакт приватний сектор згідно процедури</w:t>
            </w:r>
          </w:p>
        </w:tc>
        <w:tc>
          <w:tcPr>
            <w:tcW w:w="2233" w:type="dxa"/>
          </w:tcPr>
          <w:p w:rsidR="00310A31" w:rsidRPr="00374923" w:rsidRDefault="00310A31" w:rsidP="00C15989">
            <w:pPr>
              <w:jc w:val="center"/>
              <w:cnfStyle w:val="0000000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310A31" w:rsidTr="00C15989">
        <w:trPr>
          <w:cnfStyle w:val="000000100000"/>
        </w:trPr>
        <w:tc>
          <w:tcPr>
            <w:cnfStyle w:val="001000000000"/>
            <w:tcW w:w="402" w:type="dxa"/>
          </w:tcPr>
          <w:p w:rsidR="00310A31" w:rsidRPr="005A5802" w:rsidRDefault="00310A31" w:rsidP="00C15989">
            <w:pPr>
              <w:rPr>
                <w:b w:val="0"/>
                <w:sz w:val="24"/>
                <w:szCs w:val="24"/>
                <w:lang w:val="uk-UA"/>
              </w:rPr>
            </w:pPr>
            <w:r w:rsidRPr="005A5802">
              <w:rPr>
                <w:b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6936" w:type="dxa"/>
          </w:tcPr>
          <w:p w:rsidR="00310A31" w:rsidRPr="001E2478" w:rsidRDefault="00310A31" w:rsidP="00C15989">
            <w:pPr>
              <w:cnfStyle w:val="0000001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Поєднання нормотворчих та контролюючих функцій в одному органі влади</w:t>
            </w:r>
          </w:p>
        </w:tc>
        <w:tc>
          <w:tcPr>
            <w:tcW w:w="2233" w:type="dxa"/>
          </w:tcPr>
          <w:p w:rsidR="00310A31" w:rsidRPr="00374923" w:rsidRDefault="00310A31" w:rsidP="00C15989">
            <w:pPr>
              <w:jc w:val="center"/>
              <w:cnfStyle w:val="000000100000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310A31" w:rsidTr="00C15989">
        <w:tc>
          <w:tcPr>
            <w:cnfStyle w:val="001000000000"/>
            <w:tcW w:w="402" w:type="dxa"/>
          </w:tcPr>
          <w:p w:rsidR="00310A31" w:rsidRPr="001E2478" w:rsidRDefault="00310A31" w:rsidP="00C1598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</w:tcPr>
          <w:p w:rsidR="00310A31" w:rsidRPr="001E2478" w:rsidRDefault="00310A31" w:rsidP="00C15989">
            <w:pPr>
              <w:cnfStyle w:val="000000000000"/>
              <w:rPr>
                <w:sz w:val="24"/>
                <w:szCs w:val="24"/>
                <w:lang w:val="uk-UA"/>
              </w:rPr>
            </w:pPr>
            <w:r w:rsidRPr="001E2478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33" w:type="dxa"/>
          </w:tcPr>
          <w:p w:rsidR="00310A31" w:rsidRPr="002A5A16" w:rsidRDefault="002F00D6" w:rsidP="00C15989">
            <w:pPr>
              <w:jc w:val="center"/>
              <w:cnfStyle w:val="00000000000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</w:tr>
    </w:tbl>
    <w:p w:rsidR="00310A31" w:rsidRDefault="00310A31" w:rsidP="00310A31">
      <w:pPr>
        <w:pStyle w:val="1"/>
        <w:numPr>
          <w:ilvl w:val="0"/>
          <w:numId w:val="1"/>
        </w:numPr>
        <w:spacing w:before="120" w:after="120" w:line="240" w:lineRule="auto"/>
        <w:ind w:left="714" w:hanging="357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Ключові наслідки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4111"/>
        <w:gridCol w:w="3820"/>
      </w:tblGrid>
      <w:tr w:rsidR="00310A31" w:rsidRPr="00E30001" w:rsidTr="002E7D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31" w:rsidRPr="004A3E6C" w:rsidRDefault="00310A31" w:rsidP="00C1598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A3E6C">
              <w:rPr>
                <w:sz w:val="24"/>
                <w:szCs w:val="24"/>
                <w:lang w:val="uk-UA"/>
              </w:rPr>
              <w:t>Стаття законопроекту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31" w:rsidRPr="004A3E6C" w:rsidRDefault="00310A31" w:rsidP="00C1598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A3E6C">
              <w:rPr>
                <w:sz w:val="24"/>
                <w:szCs w:val="24"/>
                <w:lang w:val="uk-UA"/>
              </w:rPr>
              <w:t>Корупціогенний чинник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A31" w:rsidRPr="004A3E6C" w:rsidRDefault="00310A31" w:rsidP="00C1598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4A3E6C">
              <w:rPr>
                <w:sz w:val="24"/>
                <w:szCs w:val="24"/>
                <w:lang w:val="uk-UA"/>
              </w:rPr>
              <w:t>Наслідок</w:t>
            </w:r>
          </w:p>
        </w:tc>
      </w:tr>
      <w:tr w:rsidR="00274DCF" w:rsidRPr="0066389E" w:rsidTr="002E7D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CF" w:rsidRPr="002E7D49" w:rsidRDefault="00403F0D" w:rsidP="002E7D4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І. </w:t>
            </w:r>
            <w:r w:rsidR="006C035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CF" w:rsidRPr="008238C7" w:rsidRDefault="00274DCF" w:rsidP="00274DCF">
            <w:pPr>
              <w:spacing w:after="0" w:line="240" w:lineRule="auto"/>
              <w:rPr>
                <w:b/>
                <w:lang w:val="uk-UA"/>
              </w:rPr>
            </w:pPr>
            <w:r w:rsidRPr="008238C7">
              <w:rPr>
                <w:b/>
                <w:lang w:val="uk-UA"/>
              </w:rPr>
              <w:t>Широта адміністративного розсуду та дискреційні повноваження (нечітке визначення функцій, прав, обов'язків і відповідальності органів влади):</w:t>
            </w:r>
          </w:p>
          <w:p w:rsidR="00274DCF" w:rsidRPr="00354BE3" w:rsidRDefault="00274DCF" w:rsidP="00DA5DB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 w:rsidR="00DA5DB1">
              <w:rPr>
                <w:lang w:val="uk-UA"/>
              </w:rPr>
              <w:t>із законопроектом</w:t>
            </w:r>
            <w:r>
              <w:rPr>
                <w:lang w:val="uk-UA"/>
              </w:rPr>
              <w:t xml:space="preserve">, розпорядником </w:t>
            </w:r>
            <w:r w:rsidRPr="005C5683">
              <w:rPr>
                <w:lang w:val="uk-UA"/>
              </w:rPr>
              <w:t>корпоративн</w:t>
            </w:r>
            <w:r>
              <w:rPr>
                <w:lang w:val="uk-UA"/>
              </w:rPr>
              <w:t>их амортизаційних коштів</w:t>
            </w:r>
            <w:r w:rsidRPr="005C5683">
              <w:rPr>
                <w:lang w:val="uk-UA"/>
              </w:rPr>
              <w:t xml:space="preserve"> житлового будинку</w:t>
            </w:r>
            <w:r>
              <w:rPr>
                <w:lang w:val="uk-UA"/>
              </w:rPr>
              <w:t xml:space="preserve">, які сплачують власники квартир або інших житлових приміщень, є </w:t>
            </w:r>
            <w:proofErr w:type="spellStart"/>
            <w:r>
              <w:rPr>
                <w:lang w:val="uk-UA"/>
              </w:rPr>
              <w:t>балансоотримувач</w:t>
            </w:r>
            <w:proofErr w:type="spellEnd"/>
            <w:r w:rsidR="00DA5DB1">
              <w:rPr>
                <w:lang w:val="uk-UA"/>
              </w:rPr>
              <w:t xml:space="preserve"> (</w:t>
            </w:r>
            <w:r>
              <w:rPr>
                <w:lang w:val="uk-UA"/>
              </w:rPr>
              <w:t>ЖЕК</w:t>
            </w:r>
            <w:r w:rsidR="00DA5DB1">
              <w:rPr>
                <w:lang w:val="uk-UA"/>
              </w:rPr>
              <w:t>)</w:t>
            </w:r>
            <w:r>
              <w:rPr>
                <w:lang w:val="uk-UA"/>
              </w:rPr>
              <w:t>. На п</w:t>
            </w:r>
            <w:r w:rsidR="00DA5DB1">
              <w:rPr>
                <w:lang w:val="uk-UA"/>
              </w:rPr>
              <w:t>еріод до початку ремонту ЖЕК матиме</w:t>
            </w:r>
            <w:r>
              <w:rPr>
                <w:lang w:val="uk-UA"/>
              </w:rPr>
              <w:t xml:space="preserve"> право залучати ці кошти на депозитний рахунок у банківські установи, тобто, інвестувати вказані кошти на власний розсуд, самостійно визначати прибутковість розміщення коштів у тому </w:t>
            </w:r>
            <w:r>
              <w:rPr>
                <w:lang w:val="uk-UA"/>
              </w:rPr>
              <w:lastRenderedPageBreak/>
              <w:t>чи іншому банку, оцінювати безпечніст</w:t>
            </w:r>
            <w:r w:rsidR="00DA5DB1">
              <w:rPr>
                <w:lang w:val="uk-UA"/>
              </w:rPr>
              <w:t>ь та ризики від інвестування. Ці нечіткі  дискреційні</w:t>
            </w:r>
            <w:r>
              <w:rPr>
                <w:lang w:val="uk-UA"/>
              </w:rPr>
              <w:t xml:space="preserve"> повноваження, </w:t>
            </w:r>
            <w:r w:rsidR="00DA5DB1">
              <w:rPr>
                <w:lang w:val="uk-UA"/>
              </w:rPr>
              <w:t xml:space="preserve">зокрема, </w:t>
            </w:r>
            <w:r>
              <w:rPr>
                <w:lang w:val="uk-UA"/>
              </w:rPr>
              <w:t xml:space="preserve">враховуючи відсутність достатньої кваліфікації працівників </w:t>
            </w:r>
            <w:proofErr w:type="spellStart"/>
            <w:r>
              <w:rPr>
                <w:lang w:val="uk-UA"/>
              </w:rPr>
              <w:t>ЖЕКу</w:t>
            </w:r>
            <w:proofErr w:type="spellEnd"/>
            <w:r>
              <w:rPr>
                <w:lang w:val="uk-UA"/>
              </w:rPr>
              <w:t xml:space="preserve"> для подібного управління активами, посилюється відсутністю відповідальності </w:t>
            </w:r>
            <w:proofErr w:type="spellStart"/>
            <w:r>
              <w:rPr>
                <w:lang w:val="uk-UA"/>
              </w:rPr>
              <w:t>балансоотримувача</w:t>
            </w:r>
            <w:proofErr w:type="spellEnd"/>
            <w:r>
              <w:rPr>
                <w:lang w:val="uk-UA"/>
              </w:rPr>
              <w:t xml:space="preserve"> за невдале розміщення коштів у випад</w:t>
            </w:r>
            <w:r w:rsidR="00DA5DB1">
              <w:rPr>
                <w:lang w:val="uk-UA"/>
              </w:rPr>
              <w:t>к</w:t>
            </w:r>
            <w:r>
              <w:rPr>
                <w:lang w:val="uk-UA"/>
              </w:rPr>
              <w:t xml:space="preserve">у банкрутства банку або інших подібних випадків з втратою амортизаційних коштів. 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CF" w:rsidRDefault="00274DCF" w:rsidP="00274DCF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Широта дискреційного повноваження для </w:t>
            </w:r>
            <w:proofErr w:type="spellStart"/>
            <w:r>
              <w:rPr>
                <w:lang w:val="uk-UA"/>
              </w:rPr>
              <w:t>балансоотримувача</w:t>
            </w:r>
            <w:proofErr w:type="spellEnd"/>
            <w:r>
              <w:rPr>
                <w:lang w:val="uk-UA"/>
              </w:rPr>
              <w:t xml:space="preserve"> житлових приміщень (</w:t>
            </w:r>
            <w:proofErr w:type="spellStart"/>
            <w:r>
              <w:rPr>
                <w:lang w:val="uk-UA"/>
              </w:rPr>
              <w:t>ЖЕКу</w:t>
            </w:r>
            <w:proofErr w:type="spellEnd"/>
            <w:r>
              <w:rPr>
                <w:lang w:val="uk-UA"/>
              </w:rPr>
              <w:t xml:space="preserve">) створює передумови для корупційного впливу на нього з боку представників </w:t>
            </w:r>
            <w:r w:rsidR="00DA5DB1">
              <w:rPr>
                <w:lang w:val="uk-UA"/>
              </w:rPr>
              <w:t xml:space="preserve">комерційних банків, які намагатимуться </w:t>
            </w:r>
            <w:r>
              <w:rPr>
                <w:lang w:val="uk-UA"/>
              </w:rPr>
              <w:t xml:space="preserve"> залучити вказані кошти </w:t>
            </w:r>
            <w:r w:rsidR="00DA5DB1">
              <w:rPr>
                <w:lang w:val="uk-UA"/>
              </w:rPr>
              <w:t>у свої установи</w:t>
            </w:r>
            <w:r>
              <w:rPr>
                <w:lang w:val="uk-UA"/>
              </w:rPr>
              <w:t>.</w:t>
            </w:r>
          </w:p>
          <w:p w:rsidR="00274DCF" w:rsidRPr="00354BE3" w:rsidRDefault="00DA5DB1" w:rsidP="00DA5DB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274DCF">
              <w:rPr>
                <w:lang w:val="uk-UA"/>
              </w:rPr>
              <w:t xml:space="preserve">снує </w:t>
            </w:r>
            <w:r>
              <w:rPr>
                <w:lang w:val="uk-UA"/>
              </w:rPr>
              <w:t xml:space="preserve">також </w:t>
            </w:r>
            <w:r w:rsidR="00274DCF">
              <w:rPr>
                <w:lang w:val="uk-UA"/>
              </w:rPr>
              <w:t xml:space="preserve">ризик, що вибір комерційних банків буде нав’язаний </w:t>
            </w:r>
            <w:proofErr w:type="spellStart"/>
            <w:r w:rsidR="00274DCF">
              <w:rPr>
                <w:lang w:val="uk-UA"/>
              </w:rPr>
              <w:t>ЖЕКам</w:t>
            </w:r>
            <w:proofErr w:type="spellEnd"/>
            <w:r w:rsidR="00274DCF">
              <w:rPr>
                <w:lang w:val="uk-UA"/>
              </w:rPr>
              <w:t xml:space="preserve"> з боку </w:t>
            </w:r>
            <w:proofErr w:type="spellStart"/>
            <w:r w:rsidR="00274DCF">
              <w:rPr>
                <w:lang w:val="uk-UA"/>
              </w:rPr>
              <w:t>високопосадовців</w:t>
            </w:r>
            <w:proofErr w:type="spellEnd"/>
            <w:r w:rsidR="00274DCF">
              <w:rPr>
                <w:lang w:val="uk-UA"/>
              </w:rPr>
              <w:t>, тобто кошти більшої частини громадян України – власників квартир будуть штучно спрямовані до банків (банку), наближених до цих високопосадовців.</w:t>
            </w:r>
          </w:p>
        </w:tc>
      </w:tr>
      <w:tr w:rsidR="00274DCF" w:rsidRPr="005C4649" w:rsidTr="002E7D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CF" w:rsidRPr="004A3E6C" w:rsidRDefault="00403F0D" w:rsidP="00274DC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І.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B3" w:rsidRPr="008238C7" w:rsidRDefault="006D17B3" w:rsidP="006D17B3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Прогалини правового регулювання:</w:t>
            </w:r>
          </w:p>
          <w:p w:rsidR="00274DCF" w:rsidRPr="004A3E6C" w:rsidRDefault="006D17B3" w:rsidP="003E18D9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 w:rsidR="003E18D9">
              <w:rPr>
                <w:lang w:val="uk-UA"/>
              </w:rPr>
              <w:t>із законопроектом</w:t>
            </w:r>
            <w:r>
              <w:rPr>
                <w:lang w:val="uk-UA"/>
              </w:rPr>
              <w:t>, рішення про початок ремонтних робіт</w:t>
            </w:r>
            <w:r w:rsidR="00E91C15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 рахунок амортизаційних коштів</w:t>
            </w:r>
            <w:r w:rsidR="00E91C15">
              <w:rPr>
                <w:lang w:val="uk-UA"/>
              </w:rPr>
              <w:t>, а також рішення</w:t>
            </w:r>
            <w:r w:rsidR="003E18D9">
              <w:rPr>
                <w:lang w:val="uk-UA"/>
              </w:rPr>
              <w:t xml:space="preserve"> щодо перегляду розміру внесків</w:t>
            </w:r>
            <w:r w:rsidR="00FB3734">
              <w:rPr>
                <w:lang w:val="uk-UA"/>
              </w:rPr>
              <w:t xml:space="preserve"> прийма</w:t>
            </w:r>
            <w:r w:rsidR="00E91C15">
              <w:rPr>
                <w:lang w:val="uk-UA"/>
              </w:rPr>
              <w:t>ю</w:t>
            </w:r>
            <w:r w:rsidR="00FB3734">
              <w:rPr>
                <w:lang w:val="uk-UA"/>
              </w:rPr>
              <w:t xml:space="preserve">ться на загальних зборах </w:t>
            </w:r>
            <w:r w:rsidR="00FB3734" w:rsidRPr="00FB3734">
              <w:rPr>
                <w:lang w:val="uk-UA"/>
              </w:rPr>
              <w:t>власників та розпорядників приміщень</w:t>
            </w:r>
            <w:r w:rsidR="00E1117D">
              <w:rPr>
                <w:lang w:val="uk-UA"/>
              </w:rPr>
              <w:t>. Однак юридичний статус цих загальних зборів, процедура їх проведення, кількість власників, необхідна для визнання зборів правомочними, можливість оскарження рішення загальних зборів залишаються неврегульованими у законопроекті. У випадку, коли власники житлових приміщень не є членами ОСББ або житлово-будівельного кооперативу і не проводять загальні збори згідно власного статуту, рішення на таких загальних зборах можуть стати об’єктом для маніпуляцій.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15" w:rsidRDefault="003E18D9" w:rsidP="00CE591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Оскільки </w:t>
            </w:r>
            <w:r w:rsidR="00E1117D" w:rsidRPr="00E1117D">
              <w:rPr>
                <w:lang w:val="uk-UA"/>
              </w:rPr>
              <w:t xml:space="preserve">питання початку ремонтних робіт прямо </w:t>
            </w:r>
            <w:r w:rsidR="00E1117D">
              <w:rPr>
                <w:lang w:val="uk-UA"/>
              </w:rPr>
              <w:t>впливає на</w:t>
            </w:r>
            <w:r w:rsidR="00E1117D" w:rsidRPr="00E1117D">
              <w:rPr>
                <w:lang w:val="uk-UA"/>
              </w:rPr>
              <w:t xml:space="preserve"> </w:t>
            </w:r>
            <w:r w:rsidR="00E1117D">
              <w:rPr>
                <w:lang w:val="uk-UA"/>
              </w:rPr>
              <w:t>можливість відкриття</w:t>
            </w:r>
            <w:r w:rsidR="00E1117D" w:rsidRPr="00E1117D">
              <w:rPr>
                <w:lang w:val="uk-UA"/>
              </w:rPr>
              <w:t xml:space="preserve"> </w:t>
            </w:r>
            <w:proofErr w:type="spellStart"/>
            <w:r w:rsidR="00E1117D" w:rsidRPr="00E1117D">
              <w:rPr>
                <w:lang w:val="uk-UA"/>
              </w:rPr>
              <w:t>ЖЕКом</w:t>
            </w:r>
            <w:proofErr w:type="spellEnd"/>
            <w:r w:rsidR="00E1117D" w:rsidRPr="00E1117D">
              <w:rPr>
                <w:lang w:val="uk-UA"/>
              </w:rPr>
              <w:t xml:space="preserve"> </w:t>
            </w:r>
            <w:r w:rsidR="00E1117D">
              <w:rPr>
                <w:lang w:val="uk-UA"/>
              </w:rPr>
              <w:t xml:space="preserve">депозитного рахунку у банку для </w:t>
            </w:r>
            <w:r w:rsidR="00E1117D" w:rsidRPr="00E1117D">
              <w:rPr>
                <w:lang w:val="uk-UA"/>
              </w:rPr>
              <w:t>амо</w:t>
            </w:r>
            <w:r w:rsidR="00E1117D">
              <w:rPr>
                <w:lang w:val="uk-UA"/>
              </w:rPr>
              <w:t xml:space="preserve">ртизаційних коштів, </w:t>
            </w:r>
            <w:r w:rsidR="00CE5911">
              <w:rPr>
                <w:lang w:val="uk-UA"/>
              </w:rPr>
              <w:t xml:space="preserve">неврегульованість питання загальних зборів власників житла створює передумови для маніпуляцій та штучного затягування </w:t>
            </w:r>
            <w:proofErr w:type="spellStart"/>
            <w:r w:rsidR="00CE5911">
              <w:rPr>
                <w:lang w:val="uk-UA"/>
              </w:rPr>
              <w:t>ЖЕКом</w:t>
            </w:r>
            <w:proofErr w:type="spellEnd"/>
            <w:r w:rsidR="00CE5911">
              <w:rPr>
                <w:lang w:val="uk-UA"/>
              </w:rPr>
              <w:t xml:space="preserve"> початку ремонтних робіт.</w:t>
            </w:r>
          </w:p>
          <w:p w:rsidR="00274DCF" w:rsidRPr="00E1117D" w:rsidRDefault="003E18D9" w:rsidP="003E18D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Крім того, </w:t>
            </w:r>
            <w:r w:rsidR="00BA0578">
              <w:rPr>
                <w:lang w:val="uk-UA"/>
              </w:rPr>
              <w:t>можливість п</w:t>
            </w:r>
            <w:r w:rsidR="00E91C15">
              <w:rPr>
                <w:lang w:val="uk-UA"/>
              </w:rPr>
              <w:t>ерегляд</w:t>
            </w:r>
            <w:r w:rsidR="00BA0578">
              <w:rPr>
                <w:lang w:val="uk-UA"/>
              </w:rPr>
              <w:t>у</w:t>
            </w:r>
            <w:r w:rsidR="00E91C15">
              <w:rPr>
                <w:lang w:val="uk-UA"/>
              </w:rPr>
              <w:t xml:space="preserve"> розміру внесків</w:t>
            </w:r>
            <w:r w:rsidR="00CE5911">
              <w:rPr>
                <w:lang w:val="uk-UA"/>
              </w:rPr>
              <w:t xml:space="preserve"> </w:t>
            </w:r>
            <w:r w:rsidR="00BA0578">
              <w:rPr>
                <w:lang w:val="uk-UA"/>
              </w:rPr>
              <w:t xml:space="preserve">прямо пов’язана з розміром суми, що буде розміщена на депозитному рахунку, тому ні ЖЕК, ні банк, у якому відкритий депозитний рахунок, не будуть зацікавлені у зменшенні розміру внесків. </w:t>
            </w:r>
            <w:r>
              <w:rPr>
                <w:lang w:val="uk-UA"/>
              </w:rPr>
              <w:t>Внаслідок цього з</w:t>
            </w:r>
            <w:r w:rsidRPr="003E18D9">
              <w:rPr>
                <w:lang w:val="uk-UA"/>
              </w:rPr>
              <w:t>’</w:t>
            </w:r>
            <w:r>
              <w:rPr>
                <w:lang w:val="uk-UA"/>
              </w:rPr>
              <w:t xml:space="preserve">являється </w:t>
            </w:r>
            <w:r w:rsidR="00CE5911">
              <w:rPr>
                <w:lang w:val="uk-UA"/>
              </w:rPr>
              <w:t xml:space="preserve">ризик </w:t>
            </w:r>
            <w:r w:rsidR="00BA0578">
              <w:rPr>
                <w:lang w:val="uk-UA"/>
              </w:rPr>
              <w:t>того</w:t>
            </w:r>
            <w:r w:rsidR="00CE5911">
              <w:rPr>
                <w:lang w:val="uk-UA"/>
              </w:rPr>
              <w:t xml:space="preserve">, </w:t>
            </w:r>
            <w:r w:rsidR="00BA0578">
              <w:rPr>
                <w:lang w:val="uk-UA"/>
              </w:rPr>
              <w:t>що</w:t>
            </w:r>
            <w:r w:rsidR="00CE5911">
              <w:rPr>
                <w:lang w:val="uk-UA"/>
              </w:rPr>
              <w:t xml:space="preserve"> рішення загал</w:t>
            </w:r>
            <w:r>
              <w:rPr>
                <w:lang w:val="uk-UA"/>
              </w:rPr>
              <w:t>ьних зборів можуть підроблятись. А</w:t>
            </w:r>
            <w:r w:rsidR="00CE5911">
              <w:rPr>
                <w:lang w:val="uk-UA"/>
              </w:rPr>
              <w:t xml:space="preserve">бо якщо загальні збори відбулись, </w:t>
            </w:r>
            <w:r>
              <w:rPr>
                <w:lang w:val="uk-UA"/>
              </w:rPr>
              <w:t xml:space="preserve">ЖЕК може </w:t>
            </w:r>
            <w:r w:rsidR="00CE5911">
              <w:rPr>
                <w:lang w:val="uk-UA"/>
              </w:rPr>
              <w:t>їх рішення не визнав</w:t>
            </w:r>
            <w:r>
              <w:rPr>
                <w:lang w:val="uk-UA"/>
              </w:rPr>
              <w:t>ати</w:t>
            </w:r>
            <w:r w:rsidR="00CE5911">
              <w:rPr>
                <w:lang w:val="uk-UA"/>
              </w:rPr>
              <w:t>.</w:t>
            </w:r>
          </w:p>
        </w:tc>
      </w:tr>
      <w:tr w:rsidR="00274DCF" w:rsidRPr="00274DCF" w:rsidTr="002E7D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CF" w:rsidRPr="004A3E6C" w:rsidRDefault="00403F0D" w:rsidP="00274DC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78" w:rsidRPr="008238C7" w:rsidRDefault="00E50E78" w:rsidP="00E50E78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Прогалини правового регулювання:</w:t>
            </w:r>
          </w:p>
          <w:p w:rsidR="00236CB0" w:rsidRDefault="00E50E78" w:rsidP="00236CB0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Згідно </w:t>
            </w:r>
            <w:r w:rsidR="00236CB0">
              <w:rPr>
                <w:lang w:val="uk-UA"/>
              </w:rPr>
              <w:t>із законопроектом</w:t>
            </w:r>
            <w:r>
              <w:rPr>
                <w:lang w:val="uk-UA"/>
              </w:rPr>
              <w:t xml:space="preserve">, </w:t>
            </w:r>
            <w:r w:rsidR="006B170B">
              <w:rPr>
                <w:lang w:val="uk-UA"/>
              </w:rPr>
              <w:t xml:space="preserve">договір з </w:t>
            </w:r>
            <w:r w:rsidR="006B170B" w:rsidRPr="006B170B">
              <w:rPr>
                <w:lang w:val="uk-UA"/>
              </w:rPr>
              <w:t>виконавцем</w:t>
            </w:r>
            <w:r w:rsidR="006B170B">
              <w:rPr>
                <w:lang w:val="uk-UA"/>
              </w:rPr>
              <w:t xml:space="preserve"> ремонту укладає </w:t>
            </w:r>
            <w:proofErr w:type="spellStart"/>
            <w:r w:rsidR="006B170B">
              <w:rPr>
                <w:lang w:val="uk-UA"/>
              </w:rPr>
              <w:t>балансоотримувач</w:t>
            </w:r>
            <w:proofErr w:type="spellEnd"/>
            <w:r w:rsidR="006B170B">
              <w:rPr>
                <w:lang w:val="uk-UA"/>
              </w:rPr>
              <w:t xml:space="preserve"> (ЖЕК)</w:t>
            </w:r>
            <w:r w:rsidR="00236CB0">
              <w:rPr>
                <w:lang w:val="uk-UA"/>
              </w:rPr>
              <w:t>. О</w:t>
            </w:r>
            <w:r w:rsidR="006B170B">
              <w:rPr>
                <w:lang w:val="uk-UA"/>
              </w:rPr>
              <w:t>днак самого виконавця</w:t>
            </w:r>
            <w:r w:rsidR="006B170B" w:rsidRPr="006B170B">
              <w:rPr>
                <w:lang w:val="uk-UA"/>
              </w:rPr>
              <w:t xml:space="preserve"> визначає конкурсна комісія</w:t>
            </w:r>
            <w:r w:rsidR="006B170B">
              <w:rPr>
                <w:lang w:val="uk-UA"/>
              </w:rPr>
              <w:t>, що</w:t>
            </w:r>
            <w:r w:rsidR="006B170B" w:rsidRPr="006B170B">
              <w:rPr>
                <w:lang w:val="uk-UA"/>
              </w:rPr>
              <w:t xml:space="preserve"> об</w:t>
            </w:r>
            <w:r w:rsidR="009E20CF">
              <w:rPr>
                <w:lang w:val="uk-UA"/>
              </w:rPr>
              <w:t>ирається</w:t>
            </w:r>
            <w:r w:rsidR="006B170B" w:rsidRPr="006B170B">
              <w:rPr>
                <w:lang w:val="uk-UA"/>
              </w:rPr>
              <w:t xml:space="preserve"> на загальних зборах власників та розпорядників житлових приміщень</w:t>
            </w:r>
            <w:r w:rsidR="006B170B">
              <w:rPr>
                <w:lang w:val="uk-UA"/>
              </w:rPr>
              <w:t xml:space="preserve">. </w:t>
            </w:r>
          </w:p>
          <w:p w:rsidR="00274DCF" w:rsidRPr="004A3E6C" w:rsidRDefault="00236CB0" w:rsidP="00236C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Проте п</w:t>
            </w:r>
            <w:r w:rsidR="006B170B">
              <w:rPr>
                <w:lang w:val="uk-UA"/>
              </w:rPr>
              <w:t xml:space="preserve">роцедура створення та діяльність такої конкурсної комісії, її юридичний статус, </w:t>
            </w:r>
            <w:r w:rsidR="009E20CF">
              <w:rPr>
                <w:lang w:val="uk-UA"/>
              </w:rPr>
              <w:t xml:space="preserve">кількість членів, </w:t>
            </w:r>
            <w:r w:rsidR="006B170B">
              <w:rPr>
                <w:lang w:val="uk-UA"/>
              </w:rPr>
              <w:t>можливість оскарження її рішень у законопроекті не врегульован</w:t>
            </w:r>
            <w:r w:rsidR="009E20CF">
              <w:rPr>
                <w:lang w:val="uk-UA"/>
              </w:rPr>
              <w:t>о</w:t>
            </w:r>
            <w:r w:rsidR="006B170B">
              <w:rPr>
                <w:lang w:val="uk-UA"/>
              </w:rPr>
              <w:t>, що створює передумови для зловживань.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CF" w:rsidRDefault="008C7A07" w:rsidP="008C7A07">
            <w:pPr>
              <w:spacing w:after="0" w:line="240" w:lineRule="auto"/>
              <w:rPr>
                <w:lang w:val="uk-UA"/>
              </w:rPr>
            </w:pPr>
            <w:r w:rsidRPr="008C7A07">
              <w:rPr>
                <w:lang w:val="uk-UA"/>
              </w:rPr>
              <w:t xml:space="preserve">Враховуючи те, що питання вибору виконавця ремонтних робіт </w:t>
            </w:r>
            <w:r>
              <w:rPr>
                <w:lang w:val="uk-UA"/>
              </w:rPr>
              <w:t>стосується виділення значних сум коштів зі створеного амортизаційного фонду, неврегульованість діяльності конкурсної комісії створює передумови для корупції у її діяльності, а саме у питанні неупередженого вибору виконавця ремонтних робіт.</w:t>
            </w:r>
          </w:p>
          <w:p w:rsidR="00FF17B1" w:rsidRPr="008C7A07" w:rsidRDefault="00236CB0" w:rsidP="008C7A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FF17B1">
              <w:rPr>
                <w:lang w:val="uk-UA"/>
              </w:rPr>
              <w:t xml:space="preserve">ішення таких конкурсних комісій можуть бути підроблені або не визнаватись </w:t>
            </w:r>
            <w:proofErr w:type="spellStart"/>
            <w:r w:rsidR="00FF17B1">
              <w:rPr>
                <w:lang w:val="uk-UA"/>
              </w:rPr>
              <w:t>ЖЕКом</w:t>
            </w:r>
            <w:proofErr w:type="spellEnd"/>
            <w:r w:rsidR="00FF17B1">
              <w:rPr>
                <w:lang w:val="uk-UA"/>
              </w:rPr>
              <w:t xml:space="preserve"> в цілях нав’язування власникам житлових приміщень конкретного виконавця ремонтних робіт.</w:t>
            </w:r>
          </w:p>
        </w:tc>
      </w:tr>
      <w:tr w:rsidR="00274DCF" w:rsidRPr="0066389E" w:rsidTr="002E7D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CF" w:rsidRPr="004A3E6C" w:rsidRDefault="00403F0D" w:rsidP="00274DC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8" w:rsidRPr="008238C7" w:rsidRDefault="00C06288" w:rsidP="00C06288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Прогалини правового регулювання:</w:t>
            </w:r>
          </w:p>
          <w:p w:rsidR="002E7D49" w:rsidRPr="002E7D49" w:rsidRDefault="00C06288" w:rsidP="002E7D49">
            <w:pPr>
              <w:spacing w:after="0" w:line="240" w:lineRule="auto"/>
              <w:rPr>
                <w:lang w:val="uk-UA"/>
              </w:rPr>
            </w:pPr>
            <w:r w:rsidRPr="002E7D49">
              <w:rPr>
                <w:lang w:val="uk-UA"/>
              </w:rPr>
              <w:t>Згідно до законопроекту</w:t>
            </w:r>
            <w:r w:rsidR="002E7D49" w:rsidRPr="002E7D49">
              <w:rPr>
                <w:lang w:val="uk-UA"/>
              </w:rPr>
              <w:t xml:space="preserve">, </w:t>
            </w:r>
            <w:proofErr w:type="spellStart"/>
            <w:r w:rsidR="002E7D49" w:rsidRPr="002E7D49">
              <w:rPr>
                <w:lang w:val="uk-UA"/>
              </w:rPr>
              <w:t>балансоотримувач</w:t>
            </w:r>
            <w:proofErr w:type="spellEnd"/>
            <w:r w:rsidR="002E7D49" w:rsidRPr="002E7D49">
              <w:rPr>
                <w:lang w:val="uk-UA"/>
              </w:rPr>
              <w:t xml:space="preserve"> (ЖЕК) до початку ремонтних робіт може залучати амортизаційні кошти на депозитний </w:t>
            </w:r>
            <w:r w:rsidR="002E7D49" w:rsidRPr="002E7D49">
              <w:rPr>
                <w:lang w:val="uk-UA"/>
              </w:rPr>
              <w:lastRenderedPageBreak/>
              <w:t>рахунок у банку. Однак, у законопроекті не врегульовано, хто є власником відсотків за депозитом, який відкриває ЖЕК, та як ці кошти мають використовуватись, що створює передумови для зловживань.</w:t>
            </w:r>
          </w:p>
          <w:p w:rsidR="002E7D49" w:rsidRPr="004A3E6C" w:rsidRDefault="002E7D49" w:rsidP="00C06288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CF" w:rsidRPr="002E7D49" w:rsidRDefault="002E7D49" w:rsidP="002E7D49">
            <w:pPr>
              <w:spacing w:after="0" w:line="240" w:lineRule="auto"/>
              <w:rPr>
                <w:lang w:val="uk-UA"/>
              </w:rPr>
            </w:pPr>
            <w:r w:rsidRPr="002E7D49">
              <w:rPr>
                <w:lang w:val="uk-UA"/>
              </w:rPr>
              <w:lastRenderedPageBreak/>
              <w:t xml:space="preserve">Неврегульованість у питанні власності та можливих шляхів використання коштів, які надійшли у якості відсотків на депозитний рахунок, що відкритий </w:t>
            </w:r>
            <w:proofErr w:type="spellStart"/>
            <w:r w:rsidRPr="002E7D49">
              <w:rPr>
                <w:lang w:val="uk-UA"/>
              </w:rPr>
              <w:t>балансоотримувачем</w:t>
            </w:r>
            <w:proofErr w:type="spellEnd"/>
            <w:r w:rsidRPr="002E7D49">
              <w:rPr>
                <w:lang w:val="uk-UA"/>
              </w:rPr>
              <w:t xml:space="preserve"> для зберігання </w:t>
            </w:r>
            <w:r w:rsidRPr="002E7D49">
              <w:rPr>
                <w:lang w:val="uk-UA"/>
              </w:rPr>
              <w:lastRenderedPageBreak/>
              <w:t xml:space="preserve">на ньому амортизаційних коштів, створює корупційний ризик у </w:t>
            </w:r>
            <w:r>
              <w:rPr>
                <w:lang w:val="uk-UA"/>
              </w:rPr>
              <w:t xml:space="preserve">привласненні вказаних коштів </w:t>
            </w:r>
            <w:proofErr w:type="spellStart"/>
            <w:r>
              <w:rPr>
                <w:lang w:val="uk-UA"/>
              </w:rPr>
              <w:t>балансоотримувачем</w:t>
            </w:r>
            <w:proofErr w:type="spellEnd"/>
            <w:r>
              <w:rPr>
                <w:lang w:val="uk-UA"/>
              </w:rPr>
              <w:t xml:space="preserve"> або іншого їх використання </w:t>
            </w:r>
            <w:r w:rsidR="00F77A65">
              <w:rPr>
                <w:lang w:val="uk-UA"/>
              </w:rPr>
              <w:t xml:space="preserve">ним </w:t>
            </w:r>
            <w:r>
              <w:rPr>
                <w:lang w:val="uk-UA"/>
              </w:rPr>
              <w:t>у власних цілях без згоди власників житлових приміщень.</w:t>
            </w:r>
          </w:p>
        </w:tc>
      </w:tr>
      <w:tr w:rsidR="00C06288" w:rsidRPr="0066389E" w:rsidTr="002E7D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8" w:rsidRPr="004A3E6C" w:rsidRDefault="00403F0D" w:rsidP="00274DC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І.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8" w:rsidRPr="007B1A28" w:rsidRDefault="00E13FF4" w:rsidP="000105A2">
            <w:pPr>
              <w:spacing w:after="0" w:line="240" w:lineRule="auto"/>
              <w:rPr>
                <w:lang w:val="uk-UA"/>
              </w:rPr>
            </w:pPr>
            <w:r>
              <w:rPr>
                <w:b/>
                <w:lang w:val="uk-UA"/>
              </w:rPr>
              <w:t>Прогалини правового регулювання:</w:t>
            </w:r>
            <w:r>
              <w:rPr>
                <w:lang w:val="uk-UA"/>
              </w:rPr>
              <w:t xml:space="preserve"> </w:t>
            </w:r>
            <w:r w:rsidR="005C1E0B">
              <w:rPr>
                <w:lang w:val="uk-UA"/>
              </w:rPr>
              <w:t xml:space="preserve">Згідно </w:t>
            </w:r>
            <w:r w:rsidR="00CC150D">
              <w:rPr>
                <w:lang w:val="uk-UA"/>
              </w:rPr>
              <w:t>із законопроектом</w:t>
            </w:r>
            <w:r w:rsidR="005C1E0B">
              <w:rPr>
                <w:lang w:val="uk-UA"/>
              </w:rPr>
              <w:t xml:space="preserve">, </w:t>
            </w:r>
            <w:r w:rsidR="005C1E0B" w:rsidRPr="005C1E0B">
              <w:rPr>
                <w:lang w:val="uk-UA"/>
              </w:rPr>
              <w:t>місцев</w:t>
            </w:r>
            <w:r w:rsidR="005C1E0B">
              <w:rPr>
                <w:lang w:val="uk-UA"/>
              </w:rPr>
              <w:t>а</w:t>
            </w:r>
            <w:r w:rsidR="005C1E0B" w:rsidRPr="005C1E0B">
              <w:rPr>
                <w:lang w:val="uk-UA"/>
              </w:rPr>
              <w:t xml:space="preserve"> рад</w:t>
            </w:r>
            <w:r w:rsidR="005C1E0B">
              <w:rPr>
                <w:lang w:val="uk-UA"/>
              </w:rPr>
              <w:t>а</w:t>
            </w:r>
            <w:r w:rsidR="005C1E0B" w:rsidRPr="005C1E0B">
              <w:rPr>
                <w:lang w:val="uk-UA"/>
              </w:rPr>
              <w:t xml:space="preserve"> </w:t>
            </w:r>
            <w:r w:rsidR="007B1A28">
              <w:rPr>
                <w:lang w:val="uk-UA"/>
              </w:rPr>
              <w:t xml:space="preserve">обраховує та затверджує </w:t>
            </w:r>
            <w:r w:rsidR="005C1E0B" w:rsidRPr="005C1E0B">
              <w:rPr>
                <w:lang w:val="uk-UA"/>
              </w:rPr>
              <w:t xml:space="preserve">розмір </w:t>
            </w:r>
            <w:r w:rsidR="007B1A28">
              <w:rPr>
                <w:lang w:val="uk-UA"/>
              </w:rPr>
              <w:t xml:space="preserve">амортизаційних </w:t>
            </w:r>
            <w:r w:rsidR="005C1E0B" w:rsidRPr="005C1E0B">
              <w:rPr>
                <w:lang w:val="uk-UA"/>
              </w:rPr>
              <w:t xml:space="preserve">внесків для приміщень комерційного </w:t>
            </w:r>
            <w:r w:rsidR="005C1E0B">
              <w:rPr>
                <w:lang w:val="uk-UA"/>
              </w:rPr>
              <w:t>та</w:t>
            </w:r>
            <w:r w:rsidR="000105A2">
              <w:rPr>
                <w:lang w:val="uk-UA"/>
              </w:rPr>
              <w:t xml:space="preserve"> загального обслуговування, та</w:t>
            </w:r>
            <w:r w:rsidR="007B1A28">
              <w:rPr>
                <w:lang w:val="uk-UA"/>
              </w:rPr>
              <w:t xml:space="preserve"> має право підвищув</w:t>
            </w:r>
            <w:r w:rsidR="000105A2">
              <w:rPr>
                <w:lang w:val="uk-UA"/>
              </w:rPr>
              <w:t>ати розмір таких внесків. Однак</w:t>
            </w:r>
            <w:r w:rsidR="007B1A28">
              <w:rPr>
                <w:lang w:val="uk-UA"/>
              </w:rPr>
              <w:t xml:space="preserve"> порядок «обрахунку» та підстави для підвищення розміру внесків у законопроекті не зазначені.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88" w:rsidRPr="007B1A28" w:rsidRDefault="007B1A28" w:rsidP="000105A2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Враховуючи те, що питання підвищення розміру амортизаційних внесків пов’язане зі значними фінансовими ресурсами, які мають надходити до </w:t>
            </w:r>
            <w:proofErr w:type="spellStart"/>
            <w:r>
              <w:rPr>
                <w:lang w:val="uk-UA"/>
              </w:rPr>
              <w:t>балансоотримувачів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ЖЕКів</w:t>
            </w:r>
            <w:proofErr w:type="spellEnd"/>
            <w:r>
              <w:rPr>
                <w:lang w:val="uk-UA"/>
              </w:rPr>
              <w:t xml:space="preserve">), </w:t>
            </w:r>
            <w:r w:rsidR="000105A2">
              <w:rPr>
                <w:lang w:val="uk-UA"/>
              </w:rPr>
              <w:t>неврегульованість підстав</w:t>
            </w:r>
            <w:r>
              <w:rPr>
                <w:lang w:val="uk-UA"/>
              </w:rPr>
              <w:t xml:space="preserve"> для підвищення розміру таких внесків може призвести до корупційного впливу на депутатів місцевих рад з боку наближених до влади комерційних банків та пов’язаних з ними осіб.</w:t>
            </w:r>
          </w:p>
        </w:tc>
      </w:tr>
    </w:tbl>
    <w:p w:rsidR="00310A31" w:rsidRPr="005D4B7A" w:rsidRDefault="00310A31" w:rsidP="00310A31">
      <w:pPr>
        <w:pStyle w:val="1"/>
        <w:numPr>
          <w:ilvl w:val="0"/>
          <w:numId w:val="1"/>
        </w:numPr>
        <w:spacing w:before="120" w:after="0" w:line="240" w:lineRule="auto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Суб’єкти корупційних відносин </w:t>
      </w:r>
    </w:p>
    <w:p w:rsidR="002F00D6" w:rsidRDefault="00310A31" w:rsidP="00310A31">
      <w:pPr>
        <w:spacing w:before="120" w:after="0" w:line="240" w:lineRule="auto"/>
        <w:rPr>
          <w:b/>
          <w:i/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отримувати корупційні вигоди</w:t>
      </w:r>
      <w:r w:rsidRPr="00B23A3B">
        <w:rPr>
          <w:b/>
          <w:i/>
          <w:sz w:val="24"/>
          <w:szCs w:val="24"/>
          <w:lang w:val="uk-UA"/>
        </w:rPr>
        <w:t xml:space="preserve">: </w:t>
      </w:r>
      <w:r w:rsidR="00E25E64">
        <w:rPr>
          <w:sz w:val="24"/>
          <w:szCs w:val="24"/>
          <w:lang w:val="uk-UA"/>
        </w:rPr>
        <w:t xml:space="preserve">представники </w:t>
      </w:r>
      <w:proofErr w:type="spellStart"/>
      <w:r w:rsidR="00E25E64">
        <w:rPr>
          <w:sz w:val="24"/>
          <w:szCs w:val="24"/>
          <w:lang w:val="uk-UA"/>
        </w:rPr>
        <w:t>б</w:t>
      </w:r>
      <w:r w:rsidR="002F00D6">
        <w:rPr>
          <w:sz w:val="24"/>
          <w:szCs w:val="24"/>
          <w:lang w:val="uk-UA"/>
        </w:rPr>
        <w:t>алансоотримувачі</w:t>
      </w:r>
      <w:r w:rsidR="00E25E64">
        <w:rPr>
          <w:sz w:val="24"/>
          <w:szCs w:val="24"/>
          <w:lang w:val="uk-UA"/>
        </w:rPr>
        <w:t>в</w:t>
      </w:r>
      <w:proofErr w:type="spellEnd"/>
      <w:r w:rsidR="00E25E64">
        <w:rPr>
          <w:sz w:val="24"/>
          <w:szCs w:val="24"/>
          <w:lang w:val="uk-UA"/>
        </w:rPr>
        <w:t xml:space="preserve"> житлових будинків (</w:t>
      </w:r>
      <w:proofErr w:type="spellStart"/>
      <w:r w:rsidR="00E25E64">
        <w:rPr>
          <w:sz w:val="24"/>
          <w:szCs w:val="24"/>
          <w:lang w:val="uk-UA"/>
        </w:rPr>
        <w:t>ЖЕКів</w:t>
      </w:r>
      <w:proofErr w:type="spellEnd"/>
      <w:r w:rsidR="002F00D6">
        <w:rPr>
          <w:sz w:val="24"/>
          <w:szCs w:val="24"/>
          <w:lang w:val="uk-UA"/>
        </w:rPr>
        <w:t xml:space="preserve">); депутати місцевих рад; </w:t>
      </w:r>
      <w:proofErr w:type="spellStart"/>
      <w:r w:rsidR="002F00D6">
        <w:rPr>
          <w:sz w:val="24"/>
          <w:szCs w:val="24"/>
          <w:lang w:val="uk-UA"/>
        </w:rPr>
        <w:t>високопосадовці</w:t>
      </w:r>
      <w:proofErr w:type="spellEnd"/>
      <w:r w:rsidR="002F00D6">
        <w:rPr>
          <w:sz w:val="24"/>
          <w:szCs w:val="24"/>
          <w:lang w:val="uk-UA"/>
        </w:rPr>
        <w:t>, що мають вплив на систему ЖКГ України</w:t>
      </w:r>
      <w:r w:rsidR="002F00D6" w:rsidRPr="000F3392">
        <w:rPr>
          <w:b/>
          <w:i/>
          <w:sz w:val="26"/>
          <w:szCs w:val="24"/>
          <w:lang w:val="uk-UA"/>
        </w:rPr>
        <w:t xml:space="preserve"> </w:t>
      </w:r>
    </w:p>
    <w:p w:rsidR="00310A31" w:rsidRPr="000F3392" w:rsidRDefault="00310A31" w:rsidP="00310A31">
      <w:pPr>
        <w:spacing w:before="120" w:after="0" w:line="240" w:lineRule="auto"/>
        <w:rPr>
          <w:sz w:val="26"/>
          <w:szCs w:val="24"/>
          <w:lang w:val="uk-UA"/>
        </w:rPr>
      </w:pPr>
      <w:r w:rsidRPr="000F3392">
        <w:rPr>
          <w:b/>
          <w:i/>
          <w:sz w:val="26"/>
          <w:szCs w:val="24"/>
          <w:lang w:val="uk-UA"/>
        </w:rPr>
        <w:t>Методологія оцінки обсягу корупційної вигоди та результати оцінки:</w:t>
      </w:r>
      <w:r>
        <w:rPr>
          <w:b/>
          <w:i/>
          <w:sz w:val="26"/>
          <w:szCs w:val="24"/>
          <w:lang w:val="uk-UA"/>
        </w:rPr>
        <w:t xml:space="preserve"> </w:t>
      </w:r>
      <w:r w:rsidRPr="00A32E38">
        <w:rPr>
          <w:sz w:val="24"/>
          <w:szCs w:val="24"/>
          <w:lang w:val="uk-UA"/>
        </w:rPr>
        <w:t>на стадії розробки</w:t>
      </w:r>
    </w:p>
    <w:p w:rsidR="00310A31" w:rsidRPr="00A32E38" w:rsidRDefault="00310A31" w:rsidP="00310A31">
      <w:pPr>
        <w:spacing w:before="120" w:after="0" w:line="240" w:lineRule="auto"/>
        <w:rPr>
          <w:sz w:val="24"/>
          <w:szCs w:val="24"/>
          <w:lang w:val="uk-UA"/>
        </w:rPr>
      </w:pPr>
      <w:r w:rsidRPr="000F3392">
        <w:rPr>
          <w:b/>
          <w:i/>
          <w:sz w:val="26"/>
          <w:szCs w:val="24"/>
          <w:lang w:val="uk-UA"/>
        </w:rPr>
        <w:t xml:space="preserve">Хто платитиме корупційні внески: </w:t>
      </w:r>
      <w:r w:rsidR="00E25E64">
        <w:rPr>
          <w:sz w:val="24"/>
          <w:szCs w:val="24"/>
          <w:lang w:val="uk-UA"/>
        </w:rPr>
        <w:t>комерційні банки, які прагнуть залучити кошти на власний депозитний рахунок; власники та мешканці квартир, гуртожитків; представники бізнесу</w:t>
      </w:r>
    </w:p>
    <w:p w:rsidR="00310A31" w:rsidRPr="005504E6" w:rsidRDefault="00310A31" w:rsidP="00310A31">
      <w:pPr>
        <w:pStyle w:val="1"/>
        <w:numPr>
          <w:ilvl w:val="0"/>
          <w:numId w:val="4"/>
        </w:numPr>
        <w:spacing w:before="120" w:after="0" w:line="240" w:lineRule="auto"/>
        <w:rPr>
          <w:sz w:val="26"/>
          <w:szCs w:val="24"/>
          <w:lang w:val="uk-UA"/>
        </w:rPr>
      </w:pPr>
      <w:r w:rsidRPr="006921E9">
        <w:rPr>
          <w:b/>
          <w:sz w:val="26"/>
          <w:szCs w:val="24"/>
          <w:lang w:val="uk-UA"/>
        </w:rPr>
        <w:t xml:space="preserve">Висновки та рекомендації </w:t>
      </w:r>
    </w:p>
    <w:p w:rsidR="003A6C95" w:rsidRDefault="00A73569" w:rsidP="002F00D6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A73569">
        <w:rPr>
          <w:sz w:val="24"/>
          <w:szCs w:val="24"/>
          <w:lang w:val="uk-UA"/>
        </w:rPr>
        <w:t xml:space="preserve">Ідея законопроекту за </w:t>
      </w:r>
      <w:r w:rsidR="002F00D6">
        <w:rPr>
          <w:sz w:val="24"/>
          <w:szCs w:val="24"/>
          <w:lang w:val="uk-UA"/>
        </w:rPr>
        <w:t>своїм змістом</w:t>
      </w:r>
      <w:r w:rsidRPr="00A73569">
        <w:rPr>
          <w:sz w:val="24"/>
          <w:szCs w:val="24"/>
          <w:lang w:val="uk-UA"/>
        </w:rPr>
        <w:t xml:space="preserve"> </w:t>
      </w:r>
      <w:r w:rsidR="00084A2B">
        <w:rPr>
          <w:sz w:val="24"/>
          <w:szCs w:val="24"/>
          <w:lang w:val="uk-UA"/>
        </w:rPr>
        <w:t>створює</w:t>
      </w:r>
      <w:bookmarkStart w:id="0" w:name="_GoBack"/>
      <w:bookmarkEnd w:id="0"/>
      <w:r w:rsidR="002F00D6">
        <w:rPr>
          <w:sz w:val="24"/>
          <w:szCs w:val="24"/>
          <w:lang w:val="uk-UA"/>
        </w:rPr>
        <w:t xml:space="preserve"> корупційний ризик</w:t>
      </w:r>
      <w:r w:rsidRPr="00A73569">
        <w:rPr>
          <w:sz w:val="24"/>
          <w:szCs w:val="24"/>
          <w:lang w:val="uk-UA"/>
        </w:rPr>
        <w:t>, оскільки</w:t>
      </w:r>
      <w:r w:rsidR="003A6C95">
        <w:rPr>
          <w:sz w:val="24"/>
          <w:szCs w:val="24"/>
          <w:lang w:val="uk-UA"/>
        </w:rPr>
        <w:t xml:space="preserve"> пропонує запровадження додаткового платежу для </w:t>
      </w:r>
      <w:r w:rsidR="003A6C95" w:rsidRPr="003A6C95">
        <w:rPr>
          <w:sz w:val="24"/>
          <w:szCs w:val="24"/>
          <w:lang w:val="uk-UA"/>
        </w:rPr>
        <w:t>власників квартир,</w:t>
      </w:r>
      <w:r w:rsidR="003A6C95">
        <w:rPr>
          <w:sz w:val="24"/>
          <w:szCs w:val="24"/>
          <w:lang w:val="uk-UA"/>
        </w:rPr>
        <w:t xml:space="preserve"> </w:t>
      </w:r>
      <w:proofErr w:type="spellStart"/>
      <w:r w:rsidR="003A6C95" w:rsidRPr="003A6C95">
        <w:rPr>
          <w:sz w:val="24"/>
          <w:szCs w:val="24"/>
          <w:lang w:val="uk-UA"/>
        </w:rPr>
        <w:t>квартироутримувачів</w:t>
      </w:r>
      <w:proofErr w:type="spellEnd"/>
      <w:r w:rsidR="003A6C95" w:rsidRPr="003A6C95">
        <w:rPr>
          <w:sz w:val="24"/>
          <w:szCs w:val="24"/>
          <w:lang w:val="uk-UA"/>
        </w:rPr>
        <w:t xml:space="preserve"> та р</w:t>
      </w:r>
      <w:r w:rsidR="003A6C95">
        <w:rPr>
          <w:sz w:val="24"/>
          <w:szCs w:val="24"/>
          <w:lang w:val="uk-UA"/>
        </w:rPr>
        <w:t xml:space="preserve">озпорядників житлових приміщень, які вони мають сплачувати </w:t>
      </w:r>
      <w:r w:rsidR="003A6C95" w:rsidRPr="003A6C95">
        <w:rPr>
          <w:sz w:val="24"/>
          <w:szCs w:val="24"/>
          <w:lang w:val="uk-UA"/>
        </w:rPr>
        <w:t xml:space="preserve"> </w:t>
      </w:r>
      <w:proofErr w:type="spellStart"/>
      <w:r w:rsidR="003A6C95">
        <w:rPr>
          <w:sz w:val="24"/>
          <w:szCs w:val="24"/>
          <w:lang w:val="uk-UA"/>
        </w:rPr>
        <w:t>балансоотримувачу</w:t>
      </w:r>
      <w:proofErr w:type="spellEnd"/>
      <w:r w:rsidR="003A6C95">
        <w:rPr>
          <w:sz w:val="24"/>
          <w:szCs w:val="24"/>
          <w:lang w:val="uk-UA"/>
        </w:rPr>
        <w:t xml:space="preserve"> (</w:t>
      </w:r>
      <w:proofErr w:type="spellStart"/>
      <w:r w:rsidR="003A6C95">
        <w:rPr>
          <w:sz w:val="24"/>
          <w:szCs w:val="24"/>
          <w:lang w:val="uk-UA"/>
        </w:rPr>
        <w:t>ЖЕКу</w:t>
      </w:r>
      <w:proofErr w:type="spellEnd"/>
      <w:r w:rsidR="003A6C95">
        <w:rPr>
          <w:sz w:val="24"/>
          <w:szCs w:val="24"/>
          <w:lang w:val="uk-UA"/>
        </w:rPr>
        <w:t>), не реформуючи при цьому саму діяльність державних та комунальних органів житлово-комунальної сфери.</w:t>
      </w:r>
    </w:p>
    <w:p w:rsidR="00C239CC" w:rsidRDefault="004B3731" w:rsidP="002F00D6">
      <w:pPr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Потрібно наголосити, що</w:t>
      </w:r>
      <w:r w:rsidR="0069171F">
        <w:rPr>
          <w:sz w:val="24"/>
          <w:szCs w:val="24"/>
          <w:lang w:val="uk-UA"/>
        </w:rPr>
        <w:t xml:space="preserve"> здебільшого </w:t>
      </w:r>
      <w:r>
        <w:rPr>
          <w:sz w:val="24"/>
          <w:szCs w:val="24"/>
          <w:lang w:val="uk-UA"/>
        </w:rPr>
        <w:t xml:space="preserve">саме неефективна діяльність </w:t>
      </w:r>
      <w:proofErr w:type="spellStart"/>
      <w:r>
        <w:rPr>
          <w:sz w:val="24"/>
          <w:szCs w:val="24"/>
          <w:lang w:val="uk-UA"/>
        </w:rPr>
        <w:t>ЖЕКів</w:t>
      </w:r>
      <w:proofErr w:type="spellEnd"/>
      <w:r>
        <w:rPr>
          <w:sz w:val="24"/>
          <w:szCs w:val="24"/>
          <w:lang w:val="uk-UA"/>
        </w:rPr>
        <w:t xml:space="preserve"> є причиною занед</w:t>
      </w:r>
      <w:r w:rsidR="0069171F">
        <w:rPr>
          <w:sz w:val="24"/>
          <w:szCs w:val="24"/>
          <w:lang w:val="uk-UA"/>
        </w:rPr>
        <w:t>баного стану житлових приміщень.</w:t>
      </w:r>
      <w:r>
        <w:rPr>
          <w:sz w:val="24"/>
          <w:szCs w:val="24"/>
          <w:lang w:val="uk-UA"/>
        </w:rPr>
        <w:t xml:space="preserve"> </w:t>
      </w:r>
      <w:r w:rsidR="0069171F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 xml:space="preserve">ведення додаткового платежу для громадян лише створить ризики зловживання цими коштами </w:t>
      </w:r>
      <w:r w:rsidR="0069171F">
        <w:rPr>
          <w:sz w:val="24"/>
          <w:szCs w:val="24"/>
          <w:lang w:val="uk-UA"/>
        </w:rPr>
        <w:t>керівниками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ЖЕКів</w:t>
      </w:r>
      <w:proofErr w:type="spellEnd"/>
      <w:r w:rsidR="0069171F">
        <w:rPr>
          <w:sz w:val="24"/>
          <w:szCs w:val="24"/>
          <w:lang w:val="uk-UA"/>
        </w:rPr>
        <w:t>, що</w:t>
      </w:r>
      <w:r w:rsidR="00C239CC">
        <w:rPr>
          <w:sz w:val="24"/>
          <w:szCs w:val="24"/>
          <w:lang w:val="uk-UA"/>
        </w:rPr>
        <w:t xml:space="preserve"> без си</w:t>
      </w:r>
      <w:r w:rsidR="0069171F">
        <w:rPr>
          <w:sz w:val="24"/>
          <w:szCs w:val="24"/>
          <w:lang w:val="uk-UA"/>
        </w:rPr>
        <w:t>стемної реформи самої сфери ЖКГ</w:t>
      </w:r>
      <w:r>
        <w:rPr>
          <w:sz w:val="24"/>
          <w:szCs w:val="24"/>
          <w:lang w:val="uk-UA"/>
        </w:rPr>
        <w:t xml:space="preserve"> не гарантує </w:t>
      </w:r>
      <w:r w:rsidR="00C239CC">
        <w:rPr>
          <w:sz w:val="24"/>
          <w:szCs w:val="24"/>
          <w:lang w:val="uk-UA"/>
        </w:rPr>
        <w:t>використання цих коштів за призначенням.</w:t>
      </w:r>
    </w:p>
    <w:p w:rsidR="00C239CC" w:rsidRDefault="0069171F" w:rsidP="002F00D6">
      <w:pPr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Більш того, </w:t>
      </w:r>
      <w:r w:rsidR="00C239CC">
        <w:rPr>
          <w:sz w:val="24"/>
          <w:szCs w:val="24"/>
          <w:lang w:val="uk-UA"/>
        </w:rPr>
        <w:t xml:space="preserve">у разі прийняття законопроекту існує ризик створення корупційної схеми в рамках всієї України, оскільки більша частина населення України є власниками квартир чи інших житлових приміщень. </w:t>
      </w:r>
      <w:r>
        <w:rPr>
          <w:sz w:val="24"/>
          <w:szCs w:val="24"/>
          <w:lang w:val="uk-UA"/>
        </w:rPr>
        <w:t>П</w:t>
      </w:r>
      <w:r w:rsidR="00C239CC">
        <w:rPr>
          <w:sz w:val="24"/>
          <w:szCs w:val="24"/>
          <w:lang w:val="uk-UA"/>
        </w:rPr>
        <w:t>остраждалими внаслідок корупці</w:t>
      </w:r>
      <w:r w:rsidR="00F955F4">
        <w:rPr>
          <w:sz w:val="24"/>
          <w:szCs w:val="24"/>
          <w:lang w:val="uk-UA"/>
        </w:rPr>
        <w:t xml:space="preserve">йних зловживань </w:t>
      </w:r>
      <w:r w:rsidR="00C239CC">
        <w:rPr>
          <w:sz w:val="24"/>
          <w:szCs w:val="24"/>
          <w:lang w:val="uk-UA"/>
        </w:rPr>
        <w:t>може бути більшість громадян України.</w:t>
      </w:r>
    </w:p>
    <w:p w:rsidR="00A73569" w:rsidRPr="00A73569" w:rsidRDefault="00A73569" w:rsidP="00A73569">
      <w:pPr>
        <w:spacing w:before="120" w:after="0" w:line="240" w:lineRule="auto"/>
        <w:jc w:val="center"/>
        <w:rPr>
          <w:b/>
          <w:sz w:val="26"/>
          <w:szCs w:val="26"/>
          <w:lang w:val="uk-UA"/>
        </w:rPr>
      </w:pPr>
      <w:r w:rsidRPr="00A73569">
        <w:rPr>
          <w:b/>
          <w:sz w:val="26"/>
          <w:szCs w:val="26"/>
          <w:lang w:val="uk-UA"/>
        </w:rPr>
        <w:t>З урахуванням цього висновку, Громадська експертна рада рекомендує відхилити законопроект.</w:t>
      </w:r>
    </w:p>
    <w:p w:rsidR="006348B6" w:rsidRDefault="006348B6">
      <w:pPr>
        <w:rPr>
          <w:sz w:val="24"/>
          <w:szCs w:val="24"/>
          <w:lang w:val="uk-UA"/>
        </w:rPr>
      </w:pPr>
    </w:p>
    <w:sectPr w:rsidR="006348B6" w:rsidSect="004E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C5612"/>
    <w:multiLevelType w:val="hybridMultilevel"/>
    <w:tmpl w:val="C9C40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47EDB"/>
    <w:multiLevelType w:val="hybridMultilevel"/>
    <w:tmpl w:val="57D87358"/>
    <w:lvl w:ilvl="0" w:tplc="998CF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7B6268"/>
    <w:multiLevelType w:val="hybridMultilevel"/>
    <w:tmpl w:val="A43654AC"/>
    <w:lvl w:ilvl="0" w:tplc="041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F65EB"/>
    <w:multiLevelType w:val="hybridMultilevel"/>
    <w:tmpl w:val="83385F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AB0"/>
    <w:rsid w:val="000105A2"/>
    <w:rsid w:val="00027DFD"/>
    <w:rsid w:val="00027E4C"/>
    <w:rsid w:val="000353A6"/>
    <w:rsid w:val="000360DA"/>
    <w:rsid w:val="00084A2B"/>
    <w:rsid w:val="000A12E5"/>
    <w:rsid w:val="000A2A30"/>
    <w:rsid w:val="00101B5F"/>
    <w:rsid w:val="00131F61"/>
    <w:rsid w:val="0015775F"/>
    <w:rsid w:val="001A4EC8"/>
    <w:rsid w:val="001D2856"/>
    <w:rsid w:val="001D44D0"/>
    <w:rsid w:val="0020635F"/>
    <w:rsid w:val="00236CB0"/>
    <w:rsid w:val="002711DC"/>
    <w:rsid w:val="00271362"/>
    <w:rsid w:val="00274DCF"/>
    <w:rsid w:val="002C09F8"/>
    <w:rsid w:val="002E7D49"/>
    <w:rsid w:val="002F00D6"/>
    <w:rsid w:val="00310A31"/>
    <w:rsid w:val="003753D6"/>
    <w:rsid w:val="00381C68"/>
    <w:rsid w:val="003A6C95"/>
    <w:rsid w:val="003E18D9"/>
    <w:rsid w:val="003F117A"/>
    <w:rsid w:val="00403F0D"/>
    <w:rsid w:val="00454FD5"/>
    <w:rsid w:val="004717FF"/>
    <w:rsid w:val="004A35BE"/>
    <w:rsid w:val="004B3731"/>
    <w:rsid w:val="004C7263"/>
    <w:rsid w:val="004D54D1"/>
    <w:rsid w:val="004E60A1"/>
    <w:rsid w:val="004F4509"/>
    <w:rsid w:val="00524DD2"/>
    <w:rsid w:val="00594EC6"/>
    <w:rsid w:val="005C1E0B"/>
    <w:rsid w:val="005C4649"/>
    <w:rsid w:val="005C5683"/>
    <w:rsid w:val="005D3281"/>
    <w:rsid w:val="00624232"/>
    <w:rsid w:val="006348B6"/>
    <w:rsid w:val="00636BD0"/>
    <w:rsid w:val="0066389E"/>
    <w:rsid w:val="00671C55"/>
    <w:rsid w:val="0069171F"/>
    <w:rsid w:val="006B170B"/>
    <w:rsid w:val="006C035A"/>
    <w:rsid w:val="006D17B3"/>
    <w:rsid w:val="006F21E9"/>
    <w:rsid w:val="007055DC"/>
    <w:rsid w:val="00715C34"/>
    <w:rsid w:val="007A6856"/>
    <w:rsid w:val="007B1A28"/>
    <w:rsid w:val="007E5BEC"/>
    <w:rsid w:val="007F3B25"/>
    <w:rsid w:val="00871B64"/>
    <w:rsid w:val="00880738"/>
    <w:rsid w:val="008979E5"/>
    <w:rsid w:val="008A352F"/>
    <w:rsid w:val="008C7A07"/>
    <w:rsid w:val="008D42F0"/>
    <w:rsid w:val="0090425D"/>
    <w:rsid w:val="00944703"/>
    <w:rsid w:val="009B1377"/>
    <w:rsid w:val="009B5E29"/>
    <w:rsid w:val="009C4069"/>
    <w:rsid w:val="009C7E67"/>
    <w:rsid w:val="009D66E5"/>
    <w:rsid w:val="009E20CF"/>
    <w:rsid w:val="009E5485"/>
    <w:rsid w:val="00A56127"/>
    <w:rsid w:val="00A73569"/>
    <w:rsid w:val="00A91726"/>
    <w:rsid w:val="00A9339C"/>
    <w:rsid w:val="00B10F0A"/>
    <w:rsid w:val="00B325EC"/>
    <w:rsid w:val="00B5504E"/>
    <w:rsid w:val="00B66440"/>
    <w:rsid w:val="00B97BA9"/>
    <w:rsid w:val="00BA0578"/>
    <w:rsid w:val="00BC2DD3"/>
    <w:rsid w:val="00C06288"/>
    <w:rsid w:val="00C239CC"/>
    <w:rsid w:val="00C81AB0"/>
    <w:rsid w:val="00CA2508"/>
    <w:rsid w:val="00CC150D"/>
    <w:rsid w:val="00CE5911"/>
    <w:rsid w:val="00D2686F"/>
    <w:rsid w:val="00D8669C"/>
    <w:rsid w:val="00DA5DB1"/>
    <w:rsid w:val="00DC3134"/>
    <w:rsid w:val="00DD205C"/>
    <w:rsid w:val="00E02E0C"/>
    <w:rsid w:val="00E07E41"/>
    <w:rsid w:val="00E1117D"/>
    <w:rsid w:val="00E13FF4"/>
    <w:rsid w:val="00E25E64"/>
    <w:rsid w:val="00E50E78"/>
    <w:rsid w:val="00E81F8D"/>
    <w:rsid w:val="00E91C15"/>
    <w:rsid w:val="00E9478C"/>
    <w:rsid w:val="00EA130D"/>
    <w:rsid w:val="00EA58E5"/>
    <w:rsid w:val="00F77A65"/>
    <w:rsid w:val="00F955F4"/>
    <w:rsid w:val="00F96677"/>
    <w:rsid w:val="00FB3734"/>
    <w:rsid w:val="00FF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B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81AB0"/>
    <w:rPr>
      <w:color w:val="0000FF"/>
      <w:u w:val="single"/>
    </w:rPr>
  </w:style>
  <w:style w:type="paragraph" w:customStyle="1" w:styleId="1">
    <w:name w:val="Абзац списка1"/>
    <w:basedOn w:val="a"/>
    <w:rsid w:val="00C81AB0"/>
    <w:pPr>
      <w:ind w:left="720"/>
    </w:pPr>
  </w:style>
  <w:style w:type="table" w:styleId="a4">
    <w:name w:val="Light Shading"/>
    <w:basedOn w:val="a1"/>
    <w:uiPriority w:val="60"/>
    <w:rsid w:val="00C81A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C81AB0"/>
    <w:pPr>
      <w:ind w:left="720"/>
      <w:contextualSpacing/>
    </w:pPr>
  </w:style>
  <w:style w:type="paragraph" w:styleId="a6">
    <w:name w:val="header"/>
    <w:basedOn w:val="a"/>
    <w:link w:val="a7"/>
    <w:rsid w:val="00634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348B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1.c1.rada.gov.ua/pls/zweb2/webproc4_1?pf3511=46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</dc:creator>
  <cp:lastModifiedBy>grain</cp:lastModifiedBy>
  <cp:revision>18</cp:revision>
  <dcterms:created xsi:type="dcterms:W3CDTF">2014-01-08T10:37:00Z</dcterms:created>
  <dcterms:modified xsi:type="dcterms:W3CDTF">2014-01-15T11:19:00Z</dcterms:modified>
</cp:coreProperties>
</file>