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D8" w:rsidRDefault="003902D8" w:rsidP="003902D8">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3902D8" w:rsidRDefault="003902D8" w:rsidP="003902D8">
      <w:pPr>
        <w:jc w:val="center"/>
        <w:rPr>
          <w:b/>
          <w:sz w:val="28"/>
          <w:szCs w:val="28"/>
          <w:lang w:val="uk-UA"/>
        </w:rPr>
      </w:pPr>
      <w:r w:rsidRPr="00265D18">
        <w:rPr>
          <w:b/>
          <w:sz w:val="28"/>
          <w:szCs w:val="28"/>
          <w:lang w:val="uk-UA"/>
        </w:rPr>
        <w:t>Громадська експертна рада</w:t>
      </w:r>
    </w:p>
    <w:p w:rsidR="003902D8" w:rsidRPr="00E55B93" w:rsidRDefault="003902D8" w:rsidP="003902D8">
      <w:pPr>
        <w:jc w:val="center"/>
        <w:rPr>
          <w:b/>
          <w:sz w:val="26"/>
          <w:szCs w:val="26"/>
          <w:lang w:val="uk-UA"/>
        </w:rPr>
      </w:pPr>
      <w:r>
        <w:rPr>
          <w:b/>
          <w:sz w:val="26"/>
          <w:szCs w:val="26"/>
          <w:lang w:val="uk-UA"/>
        </w:rPr>
        <w:t>Р</w:t>
      </w:r>
      <w:r w:rsidRPr="00E55B93">
        <w:rPr>
          <w:b/>
          <w:sz w:val="26"/>
          <w:szCs w:val="26"/>
          <w:lang w:val="uk-UA"/>
        </w:rPr>
        <w:t xml:space="preserve">езультати громадської антикорупційної експертизи </w:t>
      </w:r>
      <w:r>
        <w:rPr>
          <w:b/>
          <w:sz w:val="26"/>
          <w:szCs w:val="26"/>
          <w:lang w:val="uk-UA"/>
        </w:rPr>
        <w:t>законопроектів</w:t>
      </w:r>
    </w:p>
    <w:p w:rsidR="003902D8" w:rsidRDefault="003902D8" w:rsidP="003902D8">
      <w:pPr>
        <w:spacing w:after="0" w:line="240" w:lineRule="auto"/>
        <w:rPr>
          <w:sz w:val="24"/>
          <w:szCs w:val="24"/>
          <w:lang w:val="uk-UA"/>
        </w:rPr>
      </w:pPr>
    </w:p>
    <w:tbl>
      <w:tblPr>
        <w:tblW w:w="0" w:type="auto"/>
        <w:tblLook w:val="00A0"/>
      </w:tblPr>
      <w:tblGrid>
        <w:gridCol w:w="3084"/>
        <w:gridCol w:w="6486"/>
      </w:tblGrid>
      <w:tr w:rsidR="003902D8" w:rsidRPr="003902D8" w:rsidTr="00EE45D5">
        <w:tc>
          <w:tcPr>
            <w:tcW w:w="3085" w:type="dxa"/>
            <w:tcBorders>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Назва законопроекту</w:t>
            </w:r>
          </w:p>
        </w:tc>
        <w:tc>
          <w:tcPr>
            <w:tcW w:w="6486" w:type="dxa"/>
            <w:tcBorders>
              <w:bottom w:val="single" w:sz="4" w:space="0" w:color="auto"/>
            </w:tcBorders>
          </w:tcPr>
          <w:p w:rsidR="003902D8" w:rsidRPr="009460CE" w:rsidRDefault="00893ABC" w:rsidP="00EE45D5">
            <w:pPr>
              <w:pStyle w:val="a4"/>
              <w:tabs>
                <w:tab w:val="clear" w:pos="4677"/>
                <w:tab w:val="clear" w:pos="9355"/>
              </w:tabs>
              <w:ind w:right="-40"/>
              <w:rPr>
                <w:rFonts w:ascii="Calibri" w:hAnsi="Calibri"/>
                <w:sz w:val="24"/>
              </w:rPr>
            </w:pPr>
            <w:r w:rsidRPr="00893ABC">
              <w:rPr>
                <w:rFonts w:ascii="Calibri" w:hAnsi="Calibri"/>
                <w:sz w:val="24"/>
              </w:rPr>
              <w:t>Про внесення змін до Закону України "Про здійснення державних закупівель" (щодо спрощення процедури закупівлі деяких товарів для закладів освіти</w:t>
            </w:r>
            <w:r w:rsidRPr="008C0F12">
              <w:t>)</w:t>
            </w:r>
          </w:p>
        </w:tc>
      </w:tr>
      <w:tr w:rsidR="003902D8" w:rsidRPr="00B9319E" w:rsidTr="00EE45D5">
        <w:tc>
          <w:tcPr>
            <w:tcW w:w="3085" w:type="dxa"/>
            <w:tcBorders>
              <w:top w:val="single" w:sz="4" w:space="0" w:color="auto"/>
              <w:bottom w:val="single" w:sz="4" w:space="0" w:color="auto"/>
            </w:tcBorders>
          </w:tcPr>
          <w:p w:rsidR="003902D8" w:rsidRPr="00B9319E" w:rsidRDefault="003902D8" w:rsidP="00EE45D5">
            <w:pPr>
              <w:tabs>
                <w:tab w:val="left" w:pos="2085"/>
              </w:tabs>
              <w:spacing w:after="0" w:line="240" w:lineRule="auto"/>
              <w:rPr>
                <w:b/>
                <w:sz w:val="24"/>
                <w:szCs w:val="24"/>
                <w:lang w:val="uk-UA"/>
              </w:rPr>
            </w:pPr>
            <w:r w:rsidRPr="00B9319E">
              <w:rPr>
                <w:b/>
                <w:sz w:val="24"/>
                <w:szCs w:val="24"/>
                <w:lang w:val="uk-UA"/>
              </w:rPr>
              <w:t>Номер законопроекту</w:t>
            </w:r>
          </w:p>
        </w:tc>
        <w:tc>
          <w:tcPr>
            <w:tcW w:w="6486" w:type="dxa"/>
            <w:tcBorders>
              <w:top w:val="single" w:sz="4" w:space="0" w:color="auto"/>
              <w:bottom w:val="single" w:sz="4" w:space="0" w:color="auto"/>
            </w:tcBorders>
          </w:tcPr>
          <w:p w:rsidR="003902D8" w:rsidRPr="009460CE" w:rsidRDefault="003902D8" w:rsidP="00EE45D5">
            <w:pPr>
              <w:spacing w:after="0" w:line="240" w:lineRule="auto"/>
              <w:rPr>
                <w:sz w:val="24"/>
                <w:szCs w:val="24"/>
                <w:lang w:val="uk-UA"/>
              </w:rPr>
            </w:pPr>
            <w:r>
              <w:rPr>
                <w:sz w:val="24"/>
                <w:szCs w:val="24"/>
                <w:lang w:val="uk-UA"/>
              </w:rPr>
              <w:t>2055</w:t>
            </w:r>
          </w:p>
        </w:tc>
      </w:tr>
      <w:tr w:rsidR="003902D8" w:rsidRPr="00B9319E" w:rsidTr="00EE45D5">
        <w:tc>
          <w:tcPr>
            <w:tcW w:w="3085" w:type="dxa"/>
            <w:tcBorders>
              <w:top w:val="single" w:sz="4" w:space="0" w:color="auto"/>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Дата реєстрації</w:t>
            </w:r>
          </w:p>
        </w:tc>
        <w:tc>
          <w:tcPr>
            <w:tcW w:w="6486" w:type="dxa"/>
            <w:tcBorders>
              <w:top w:val="single" w:sz="4" w:space="0" w:color="auto"/>
              <w:bottom w:val="single" w:sz="4" w:space="0" w:color="auto"/>
            </w:tcBorders>
          </w:tcPr>
          <w:p w:rsidR="003902D8" w:rsidRPr="001A19DD" w:rsidRDefault="005335BE" w:rsidP="00EE45D5">
            <w:pPr>
              <w:spacing w:after="0" w:line="240" w:lineRule="auto"/>
              <w:rPr>
                <w:rFonts w:asciiTheme="minorHAnsi" w:hAnsiTheme="minorHAnsi"/>
                <w:sz w:val="24"/>
                <w:szCs w:val="24"/>
                <w:lang w:val="uk-UA"/>
              </w:rPr>
            </w:pPr>
            <w:r>
              <w:rPr>
                <w:rFonts w:asciiTheme="minorHAnsi" w:hAnsiTheme="minorHAnsi"/>
                <w:sz w:val="24"/>
                <w:szCs w:val="24"/>
                <w:lang w:val="uk-UA"/>
              </w:rPr>
              <w:t>05.11.2013 (доопрацьований)</w:t>
            </w:r>
          </w:p>
        </w:tc>
      </w:tr>
      <w:tr w:rsidR="003902D8" w:rsidRPr="00B9319E" w:rsidTr="00EE45D5">
        <w:tc>
          <w:tcPr>
            <w:tcW w:w="3085" w:type="dxa"/>
            <w:tcBorders>
              <w:top w:val="single" w:sz="4" w:space="0" w:color="auto"/>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Автор законопроекту</w:t>
            </w:r>
          </w:p>
        </w:tc>
        <w:tc>
          <w:tcPr>
            <w:tcW w:w="6486" w:type="dxa"/>
            <w:tcBorders>
              <w:top w:val="single" w:sz="4" w:space="0" w:color="auto"/>
              <w:bottom w:val="single" w:sz="4" w:space="0" w:color="auto"/>
            </w:tcBorders>
          </w:tcPr>
          <w:p w:rsidR="003902D8" w:rsidRPr="005335BE" w:rsidRDefault="005335BE" w:rsidP="00EE45D5">
            <w:pPr>
              <w:spacing w:after="0" w:line="240" w:lineRule="auto"/>
              <w:rPr>
                <w:rFonts w:asciiTheme="minorHAnsi" w:hAnsiTheme="minorHAnsi"/>
                <w:sz w:val="24"/>
                <w:szCs w:val="24"/>
                <w:lang w:val="uk-UA"/>
              </w:rPr>
            </w:pPr>
            <w:proofErr w:type="spellStart"/>
            <w:r>
              <w:rPr>
                <w:rFonts w:asciiTheme="minorHAnsi" w:hAnsiTheme="minorHAnsi"/>
                <w:sz w:val="24"/>
                <w:szCs w:val="24"/>
                <w:lang w:val="uk-UA"/>
              </w:rPr>
              <w:t>Зубко</w:t>
            </w:r>
            <w:proofErr w:type="spellEnd"/>
            <w:r>
              <w:rPr>
                <w:rFonts w:asciiTheme="minorHAnsi" w:hAnsiTheme="minorHAnsi"/>
                <w:sz w:val="24"/>
                <w:szCs w:val="24"/>
                <w:lang w:val="uk-UA"/>
              </w:rPr>
              <w:t xml:space="preserve"> Г.Г., народний депутат України, член фракції ВО «Батьківщина»</w:t>
            </w:r>
          </w:p>
        </w:tc>
      </w:tr>
      <w:tr w:rsidR="003902D8" w:rsidRPr="00B9319E" w:rsidTr="005335BE">
        <w:trPr>
          <w:trHeight w:val="463"/>
        </w:trPr>
        <w:tc>
          <w:tcPr>
            <w:tcW w:w="3085" w:type="dxa"/>
            <w:tcBorders>
              <w:top w:val="single" w:sz="4" w:space="0" w:color="auto"/>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Головний комітет ВРУ</w:t>
            </w:r>
          </w:p>
        </w:tc>
        <w:tc>
          <w:tcPr>
            <w:tcW w:w="6486" w:type="dxa"/>
            <w:tcBorders>
              <w:top w:val="single" w:sz="4" w:space="0" w:color="auto"/>
              <w:bottom w:val="single" w:sz="4" w:space="0" w:color="auto"/>
            </w:tcBorders>
          </w:tcPr>
          <w:p w:rsidR="003902D8" w:rsidRPr="005335BE" w:rsidRDefault="005335BE" w:rsidP="00EE45D5">
            <w:pPr>
              <w:spacing w:after="0" w:line="240" w:lineRule="auto"/>
              <w:rPr>
                <w:rFonts w:asciiTheme="minorHAnsi" w:hAnsiTheme="minorHAnsi"/>
                <w:sz w:val="24"/>
                <w:szCs w:val="24"/>
                <w:lang w:val="uk-UA"/>
              </w:rPr>
            </w:pPr>
            <w:r>
              <w:rPr>
                <w:rFonts w:asciiTheme="minorHAnsi" w:hAnsiTheme="minorHAnsi"/>
                <w:sz w:val="24"/>
                <w:szCs w:val="24"/>
                <w:lang w:val="uk-UA"/>
              </w:rPr>
              <w:t xml:space="preserve">Комітет з питань економічної політики </w:t>
            </w:r>
          </w:p>
        </w:tc>
      </w:tr>
      <w:tr w:rsidR="003902D8" w:rsidRPr="00B9319E" w:rsidTr="00EE45D5">
        <w:tc>
          <w:tcPr>
            <w:tcW w:w="3085" w:type="dxa"/>
            <w:tcBorders>
              <w:top w:val="single" w:sz="4" w:space="0" w:color="auto"/>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Етап проходження</w:t>
            </w:r>
          </w:p>
        </w:tc>
        <w:tc>
          <w:tcPr>
            <w:tcW w:w="6486" w:type="dxa"/>
            <w:tcBorders>
              <w:top w:val="single" w:sz="4" w:space="0" w:color="auto"/>
              <w:bottom w:val="single" w:sz="4" w:space="0" w:color="auto"/>
            </w:tcBorders>
          </w:tcPr>
          <w:p w:rsidR="003902D8" w:rsidRPr="001A19DD" w:rsidRDefault="005335BE" w:rsidP="00EE45D5">
            <w:pPr>
              <w:spacing w:after="0" w:line="240" w:lineRule="auto"/>
              <w:rPr>
                <w:rFonts w:asciiTheme="minorHAnsi" w:hAnsiTheme="minorHAnsi"/>
                <w:sz w:val="24"/>
                <w:szCs w:val="24"/>
                <w:lang w:val="uk-UA"/>
              </w:rPr>
            </w:pPr>
            <w:r>
              <w:rPr>
                <w:rFonts w:asciiTheme="minorHAnsi" w:hAnsiTheme="minorHAnsi"/>
                <w:sz w:val="24"/>
                <w:szCs w:val="24"/>
                <w:lang w:val="uk-UA"/>
              </w:rPr>
              <w:t>Надано на заміну (07.11.2013)</w:t>
            </w:r>
          </w:p>
        </w:tc>
      </w:tr>
      <w:tr w:rsidR="003902D8" w:rsidRPr="00B9319E" w:rsidTr="00EE45D5">
        <w:tc>
          <w:tcPr>
            <w:tcW w:w="3085" w:type="dxa"/>
            <w:tcBorders>
              <w:top w:val="single" w:sz="4" w:space="0" w:color="auto"/>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Висновок Головного науково-експертного управління ВРУ</w:t>
            </w:r>
          </w:p>
        </w:tc>
        <w:tc>
          <w:tcPr>
            <w:tcW w:w="6486" w:type="dxa"/>
            <w:tcBorders>
              <w:top w:val="single" w:sz="4" w:space="0" w:color="auto"/>
              <w:bottom w:val="single" w:sz="4" w:space="0" w:color="auto"/>
            </w:tcBorders>
          </w:tcPr>
          <w:p w:rsidR="003902D8" w:rsidRPr="001A19DD" w:rsidRDefault="008A53FB" w:rsidP="00EE45D5">
            <w:pPr>
              <w:spacing w:after="0" w:line="240" w:lineRule="auto"/>
              <w:rPr>
                <w:rFonts w:asciiTheme="minorHAnsi" w:hAnsiTheme="minorHAnsi"/>
                <w:sz w:val="24"/>
                <w:szCs w:val="24"/>
                <w:lang w:val="uk-UA"/>
              </w:rPr>
            </w:pPr>
            <w:r>
              <w:rPr>
                <w:rFonts w:asciiTheme="minorHAnsi" w:hAnsiTheme="minorHAnsi"/>
                <w:sz w:val="24"/>
                <w:szCs w:val="24"/>
                <w:lang w:val="uk-UA"/>
              </w:rPr>
              <w:t xml:space="preserve">Законопроект потребує доопрацювання </w:t>
            </w:r>
          </w:p>
        </w:tc>
      </w:tr>
      <w:tr w:rsidR="003902D8" w:rsidRPr="00B9319E" w:rsidTr="00EE45D5">
        <w:tc>
          <w:tcPr>
            <w:tcW w:w="3085" w:type="dxa"/>
            <w:tcBorders>
              <w:top w:val="single" w:sz="4" w:space="0" w:color="auto"/>
              <w:bottom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Висновок профільного Комітету ВРУ</w:t>
            </w:r>
          </w:p>
        </w:tc>
        <w:tc>
          <w:tcPr>
            <w:tcW w:w="6486" w:type="dxa"/>
            <w:tcBorders>
              <w:top w:val="single" w:sz="4" w:space="0" w:color="auto"/>
              <w:bottom w:val="single" w:sz="4" w:space="0" w:color="auto"/>
            </w:tcBorders>
          </w:tcPr>
          <w:p w:rsidR="003902D8" w:rsidRPr="001A19DD" w:rsidRDefault="005335BE" w:rsidP="00EE45D5">
            <w:pPr>
              <w:jc w:val="both"/>
              <w:rPr>
                <w:rFonts w:asciiTheme="minorHAnsi" w:hAnsiTheme="minorHAnsi"/>
                <w:sz w:val="24"/>
                <w:szCs w:val="24"/>
                <w:lang w:val="uk-UA"/>
              </w:rPr>
            </w:pPr>
            <w:r>
              <w:rPr>
                <w:rFonts w:asciiTheme="minorHAnsi" w:hAnsiTheme="minorHAnsi"/>
                <w:sz w:val="24"/>
                <w:szCs w:val="24"/>
                <w:lang w:val="uk-UA"/>
              </w:rPr>
              <w:t xml:space="preserve">Відсутній на момент проведення експертизи </w:t>
            </w:r>
          </w:p>
        </w:tc>
      </w:tr>
      <w:tr w:rsidR="003902D8" w:rsidRPr="004C3363" w:rsidTr="00EE45D5">
        <w:tc>
          <w:tcPr>
            <w:tcW w:w="3085" w:type="dxa"/>
            <w:tcBorders>
              <w:top w:val="single" w:sz="4" w:space="0" w:color="auto"/>
            </w:tcBorders>
          </w:tcPr>
          <w:p w:rsidR="003902D8" w:rsidRPr="00B9319E" w:rsidRDefault="003902D8" w:rsidP="00EE45D5">
            <w:pPr>
              <w:spacing w:after="0" w:line="240" w:lineRule="auto"/>
              <w:rPr>
                <w:b/>
                <w:sz w:val="24"/>
                <w:szCs w:val="24"/>
                <w:lang w:val="uk-UA"/>
              </w:rPr>
            </w:pPr>
            <w:proofErr w:type="spellStart"/>
            <w:r w:rsidRPr="00B9319E">
              <w:rPr>
                <w:b/>
                <w:sz w:val="24"/>
                <w:szCs w:val="24"/>
                <w:lang w:val="uk-UA"/>
              </w:rPr>
              <w:t>Веб-адреса</w:t>
            </w:r>
            <w:proofErr w:type="spellEnd"/>
            <w:r w:rsidRPr="00B9319E">
              <w:rPr>
                <w:b/>
                <w:sz w:val="24"/>
                <w:szCs w:val="24"/>
                <w:lang w:val="uk-UA"/>
              </w:rPr>
              <w:t xml:space="preserve"> картки законопроекту на сервері ВРУ</w:t>
            </w:r>
          </w:p>
        </w:tc>
        <w:tc>
          <w:tcPr>
            <w:tcW w:w="6486" w:type="dxa"/>
            <w:tcBorders>
              <w:top w:val="single" w:sz="4" w:space="0" w:color="auto"/>
            </w:tcBorders>
          </w:tcPr>
          <w:p w:rsidR="003902D8" w:rsidRPr="001A19DD" w:rsidRDefault="006479B0" w:rsidP="00EE45D5">
            <w:pPr>
              <w:spacing w:after="0" w:line="240" w:lineRule="auto"/>
              <w:rPr>
                <w:rFonts w:asciiTheme="minorHAnsi" w:hAnsiTheme="minorHAnsi"/>
                <w:sz w:val="24"/>
                <w:szCs w:val="24"/>
                <w:lang w:val="uk-UA"/>
              </w:rPr>
            </w:pPr>
            <w:hyperlink r:id="rId5" w:history="1">
              <w:r w:rsidR="00893ABC">
                <w:rPr>
                  <w:rStyle w:val="a3"/>
                </w:rPr>
                <w:t>http</w:t>
              </w:r>
              <w:r w:rsidR="00893ABC" w:rsidRPr="00893ABC">
                <w:rPr>
                  <w:rStyle w:val="a3"/>
                  <w:lang w:val="uk-UA"/>
                </w:rPr>
                <w:t>://</w:t>
              </w:r>
              <w:r w:rsidR="00893ABC">
                <w:rPr>
                  <w:rStyle w:val="a3"/>
                </w:rPr>
                <w:t>w</w:t>
              </w:r>
              <w:r w:rsidR="00893ABC" w:rsidRPr="00893ABC">
                <w:rPr>
                  <w:rStyle w:val="a3"/>
                  <w:lang w:val="uk-UA"/>
                </w:rPr>
                <w:t>1.</w:t>
              </w:r>
              <w:r w:rsidR="00893ABC">
                <w:rPr>
                  <w:rStyle w:val="a3"/>
                </w:rPr>
                <w:t>c</w:t>
              </w:r>
              <w:r w:rsidR="00893ABC" w:rsidRPr="00893ABC">
                <w:rPr>
                  <w:rStyle w:val="a3"/>
                  <w:lang w:val="uk-UA"/>
                </w:rPr>
                <w:t>1.</w:t>
              </w:r>
              <w:r w:rsidR="00893ABC">
                <w:rPr>
                  <w:rStyle w:val="a3"/>
                </w:rPr>
                <w:t>rada</w:t>
              </w:r>
              <w:r w:rsidR="00893ABC" w:rsidRPr="00893ABC">
                <w:rPr>
                  <w:rStyle w:val="a3"/>
                  <w:lang w:val="uk-UA"/>
                </w:rPr>
                <w:t>.</w:t>
              </w:r>
              <w:r w:rsidR="00893ABC">
                <w:rPr>
                  <w:rStyle w:val="a3"/>
                </w:rPr>
                <w:t>gov</w:t>
              </w:r>
              <w:r w:rsidR="00893ABC" w:rsidRPr="00893ABC">
                <w:rPr>
                  <w:rStyle w:val="a3"/>
                  <w:lang w:val="uk-UA"/>
                </w:rPr>
                <w:t>.</w:t>
              </w:r>
              <w:r w:rsidR="00893ABC">
                <w:rPr>
                  <w:rStyle w:val="a3"/>
                </w:rPr>
                <w:t>ua</w:t>
              </w:r>
              <w:r w:rsidR="00893ABC" w:rsidRPr="00893ABC">
                <w:rPr>
                  <w:rStyle w:val="a3"/>
                  <w:lang w:val="uk-UA"/>
                </w:rPr>
                <w:t>/</w:t>
              </w:r>
              <w:r w:rsidR="00893ABC">
                <w:rPr>
                  <w:rStyle w:val="a3"/>
                </w:rPr>
                <w:t>pls</w:t>
              </w:r>
              <w:r w:rsidR="00893ABC" w:rsidRPr="00893ABC">
                <w:rPr>
                  <w:rStyle w:val="a3"/>
                  <w:lang w:val="uk-UA"/>
                </w:rPr>
                <w:t>/</w:t>
              </w:r>
              <w:r w:rsidR="00893ABC">
                <w:rPr>
                  <w:rStyle w:val="a3"/>
                </w:rPr>
                <w:t>zweb</w:t>
              </w:r>
              <w:r w:rsidR="00893ABC" w:rsidRPr="00893ABC">
                <w:rPr>
                  <w:rStyle w:val="a3"/>
                  <w:lang w:val="uk-UA"/>
                </w:rPr>
                <w:t>2/</w:t>
              </w:r>
              <w:r w:rsidR="00893ABC">
                <w:rPr>
                  <w:rStyle w:val="a3"/>
                </w:rPr>
                <w:t>webproc</w:t>
              </w:r>
              <w:r w:rsidR="00893ABC" w:rsidRPr="00893ABC">
                <w:rPr>
                  <w:rStyle w:val="a3"/>
                  <w:lang w:val="uk-UA"/>
                </w:rPr>
                <w:t>4_1?</w:t>
              </w:r>
              <w:r w:rsidR="00893ABC">
                <w:rPr>
                  <w:rStyle w:val="a3"/>
                </w:rPr>
                <w:t>pf</w:t>
              </w:r>
              <w:r w:rsidR="00893ABC" w:rsidRPr="00893ABC">
                <w:rPr>
                  <w:rStyle w:val="a3"/>
                  <w:lang w:val="uk-UA"/>
                </w:rPr>
                <w:t>3511=45508</w:t>
              </w:r>
            </w:hyperlink>
          </w:p>
        </w:tc>
      </w:tr>
      <w:tr w:rsidR="003902D8" w:rsidRPr="00805BAE" w:rsidTr="00EE45D5">
        <w:tc>
          <w:tcPr>
            <w:tcW w:w="3085" w:type="dxa"/>
            <w:tcBorders>
              <w:top w:val="single" w:sz="4" w:space="0" w:color="auto"/>
            </w:tcBorders>
          </w:tcPr>
          <w:p w:rsidR="003902D8" w:rsidRPr="00B9319E" w:rsidRDefault="003902D8" w:rsidP="00EE45D5">
            <w:pPr>
              <w:spacing w:after="0" w:line="240" w:lineRule="auto"/>
              <w:rPr>
                <w:b/>
                <w:sz w:val="24"/>
                <w:szCs w:val="24"/>
                <w:lang w:val="uk-UA"/>
              </w:rPr>
            </w:pPr>
            <w:r>
              <w:rPr>
                <w:b/>
                <w:sz w:val="24"/>
                <w:szCs w:val="24"/>
                <w:lang w:val="uk-UA"/>
              </w:rPr>
              <w:t>Дата схвалення висновку Громадською експертною радою</w:t>
            </w:r>
          </w:p>
        </w:tc>
        <w:tc>
          <w:tcPr>
            <w:tcW w:w="6486" w:type="dxa"/>
            <w:tcBorders>
              <w:top w:val="single" w:sz="4" w:space="0" w:color="auto"/>
            </w:tcBorders>
          </w:tcPr>
          <w:p w:rsidR="003902D8" w:rsidRPr="004C3363" w:rsidRDefault="004C3363" w:rsidP="00EE45D5">
            <w:pPr>
              <w:spacing w:after="0" w:line="240" w:lineRule="auto"/>
              <w:rPr>
                <w:rFonts w:asciiTheme="minorHAnsi" w:hAnsiTheme="minorHAnsi"/>
                <w:sz w:val="24"/>
                <w:szCs w:val="24"/>
                <w:lang w:val="uk-UA"/>
              </w:rPr>
            </w:pPr>
            <w:r w:rsidRPr="004C3363">
              <w:rPr>
                <w:rFonts w:asciiTheme="minorHAnsi" w:hAnsiTheme="minorHAnsi"/>
                <w:sz w:val="24"/>
                <w:szCs w:val="24"/>
                <w:lang w:val="uk-UA"/>
              </w:rPr>
              <w:t>31 грудня 2013 року</w:t>
            </w:r>
          </w:p>
        </w:tc>
      </w:tr>
      <w:tr w:rsidR="003902D8" w:rsidRPr="00B9319E" w:rsidTr="00EE45D5">
        <w:tc>
          <w:tcPr>
            <w:tcW w:w="3085" w:type="dxa"/>
            <w:tcBorders>
              <w:top w:val="single" w:sz="4" w:space="0" w:color="auto"/>
            </w:tcBorders>
          </w:tcPr>
          <w:p w:rsidR="003902D8" w:rsidRPr="00B9319E" w:rsidRDefault="003902D8" w:rsidP="00EE45D5">
            <w:pPr>
              <w:spacing w:after="0" w:line="240" w:lineRule="auto"/>
              <w:rPr>
                <w:b/>
                <w:sz w:val="24"/>
                <w:szCs w:val="24"/>
                <w:lang w:val="uk-UA"/>
              </w:rPr>
            </w:pPr>
            <w:r w:rsidRPr="00B9319E">
              <w:rPr>
                <w:b/>
                <w:sz w:val="24"/>
                <w:szCs w:val="24"/>
                <w:lang w:val="uk-UA"/>
              </w:rPr>
              <w:t xml:space="preserve">Висновок та рекомендації </w:t>
            </w:r>
          </w:p>
          <w:p w:rsidR="003902D8" w:rsidRPr="00B9319E" w:rsidRDefault="003902D8" w:rsidP="00EE45D5">
            <w:pPr>
              <w:spacing w:after="0" w:line="240" w:lineRule="auto"/>
              <w:rPr>
                <w:b/>
                <w:sz w:val="24"/>
                <w:szCs w:val="24"/>
                <w:lang w:val="uk-UA"/>
              </w:rPr>
            </w:pPr>
            <w:r w:rsidRPr="00B9319E">
              <w:rPr>
                <w:b/>
                <w:sz w:val="24"/>
                <w:szCs w:val="24"/>
                <w:lang w:val="uk-UA"/>
              </w:rPr>
              <w:t>Громадської експертної ради</w:t>
            </w:r>
          </w:p>
        </w:tc>
        <w:tc>
          <w:tcPr>
            <w:tcW w:w="6486" w:type="dxa"/>
            <w:tcBorders>
              <w:top w:val="single" w:sz="4" w:space="0" w:color="auto"/>
            </w:tcBorders>
          </w:tcPr>
          <w:p w:rsidR="003902D8" w:rsidRDefault="005335BE" w:rsidP="00EE45D5">
            <w:pPr>
              <w:spacing w:after="0" w:line="240" w:lineRule="auto"/>
              <w:rPr>
                <w:rFonts w:asciiTheme="minorHAnsi" w:hAnsiTheme="minorHAnsi"/>
                <w:b/>
                <w:sz w:val="24"/>
                <w:szCs w:val="24"/>
                <w:lang w:val="uk-UA"/>
              </w:rPr>
            </w:pPr>
            <w:r>
              <w:rPr>
                <w:rFonts w:asciiTheme="minorHAnsi" w:hAnsiTheme="minorHAnsi"/>
                <w:b/>
                <w:sz w:val="24"/>
                <w:szCs w:val="24"/>
                <w:lang w:val="uk-UA"/>
              </w:rPr>
              <w:t xml:space="preserve">У проекті виявлені корупційні ризики </w:t>
            </w:r>
          </w:p>
          <w:p w:rsidR="005335BE" w:rsidRDefault="005335BE" w:rsidP="00EE45D5">
            <w:pPr>
              <w:spacing w:after="0" w:line="240" w:lineRule="auto"/>
              <w:rPr>
                <w:rFonts w:asciiTheme="minorHAnsi" w:hAnsiTheme="minorHAnsi"/>
                <w:b/>
                <w:sz w:val="24"/>
                <w:szCs w:val="24"/>
                <w:lang w:val="uk-UA"/>
              </w:rPr>
            </w:pPr>
          </w:p>
          <w:p w:rsidR="005335BE" w:rsidRPr="001A19DD" w:rsidRDefault="005335BE" w:rsidP="00EE45D5">
            <w:pPr>
              <w:spacing w:after="0" w:line="240" w:lineRule="auto"/>
              <w:rPr>
                <w:rFonts w:asciiTheme="minorHAnsi" w:hAnsiTheme="minorHAnsi"/>
                <w:b/>
                <w:sz w:val="24"/>
                <w:szCs w:val="24"/>
                <w:lang w:val="uk-UA"/>
              </w:rPr>
            </w:pPr>
            <w:r>
              <w:rPr>
                <w:rFonts w:asciiTheme="minorHAnsi" w:hAnsiTheme="minorHAnsi"/>
                <w:b/>
                <w:sz w:val="24"/>
                <w:szCs w:val="24"/>
                <w:lang w:val="uk-UA"/>
              </w:rPr>
              <w:t>Відхилити законопроект</w:t>
            </w:r>
          </w:p>
        </w:tc>
      </w:tr>
    </w:tbl>
    <w:p w:rsidR="003902D8" w:rsidRPr="00905C1E" w:rsidRDefault="003902D8" w:rsidP="003902D8">
      <w:pPr>
        <w:spacing w:after="0" w:line="240" w:lineRule="auto"/>
        <w:rPr>
          <w:sz w:val="24"/>
          <w:szCs w:val="24"/>
        </w:rPr>
      </w:pPr>
    </w:p>
    <w:p w:rsidR="003902D8" w:rsidRPr="00103934" w:rsidRDefault="003902D8" w:rsidP="003902D8">
      <w:pPr>
        <w:spacing w:after="0" w:line="240" w:lineRule="auto"/>
        <w:rPr>
          <w:sz w:val="24"/>
          <w:szCs w:val="24"/>
          <w:lang w:val="uk-UA"/>
        </w:rPr>
      </w:pPr>
    </w:p>
    <w:p w:rsidR="003902D8" w:rsidRDefault="003902D8" w:rsidP="003902D8">
      <w:pPr>
        <w:jc w:val="right"/>
        <w:rPr>
          <w:sz w:val="24"/>
          <w:szCs w:val="24"/>
          <w:lang w:val="uk-UA"/>
        </w:rPr>
      </w:pPr>
      <w:r w:rsidRPr="00653095">
        <w:rPr>
          <w:sz w:val="24"/>
          <w:szCs w:val="24"/>
          <w:lang w:val="uk-UA"/>
        </w:rPr>
        <w:t>Виконавець:</w:t>
      </w:r>
    </w:p>
    <w:p w:rsidR="00F25C40" w:rsidRPr="00F25C40" w:rsidRDefault="00F25C40" w:rsidP="00F25C40">
      <w:pPr>
        <w:spacing w:before="120" w:after="0" w:line="240" w:lineRule="auto"/>
        <w:jc w:val="right"/>
        <w:rPr>
          <w:sz w:val="24"/>
          <w:szCs w:val="24"/>
          <w:lang w:val="uk-UA"/>
        </w:rPr>
      </w:pPr>
      <w:r w:rsidRPr="00F25C40">
        <w:rPr>
          <w:sz w:val="24"/>
          <w:szCs w:val="24"/>
          <w:lang w:val="uk-UA"/>
        </w:rPr>
        <w:t>Головний експерт</w:t>
      </w:r>
    </w:p>
    <w:p w:rsidR="00F25C40" w:rsidRPr="00F25C40" w:rsidRDefault="00F25C40" w:rsidP="00F25C40">
      <w:pPr>
        <w:spacing w:before="120" w:after="0" w:line="240" w:lineRule="auto"/>
        <w:jc w:val="right"/>
        <w:rPr>
          <w:sz w:val="24"/>
          <w:szCs w:val="24"/>
          <w:lang w:val="uk-UA"/>
        </w:rPr>
      </w:pPr>
      <w:r w:rsidRPr="00F25C40">
        <w:rPr>
          <w:sz w:val="24"/>
          <w:szCs w:val="24"/>
          <w:lang w:val="uk-UA"/>
        </w:rPr>
        <w:t xml:space="preserve">Центру політичних студій та аналітики </w:t>
      </w:r>
    </w:p>
    <w:p w:rsidR="00F25C40" w:rsidRDefault="00F25C40" w:rsidP="00F25C40">
      <w:pPr>
        <w:spacing w:before="120" w:after="0" w:line="240" w:lineRule="auto"/>
        <w:jc w:val="right"/>
        <w:rPr>
          <w:sz w:val="24"/>
          <w:szCs w:val="24"/>
          <w:lang w:val="uk-UA"/>
        </w:rPr>
      </w:pPr>
      <w:r w:rsidRPr="00F25C40">
        <w:rPr>
          <w:sz w:val="24"/>
          <w:szCs w:val="24"/>
          <w:lang w:val="uk-UA"/>
        </w:rPr>
        <w:t>з громадської антикорупційної експертизи</w:t>
      </w:r>
    </w:p>
    <w:p w:rsidR="00F25C40" w:rsidRPr="00F25C40" w:rsidRDefault="00F25C40" w:rsidP="00F25C40">
      <w:pPr>
        <w:spacing w:before="120" w:after="0" w:line="240" w:lineRule="auto"/>
        <w:jc w:val="right"/>
        <w:rPr>
          <w:sz w:val="24"/>
          <w:szCs w:val="24"/>
          <w:lang w:val="uk-UA"/>
        </w:rPr>
      </w:pPr>
      <w:r w:rsidRPr="00F25C40">
        <w:rPr>
          <w:sz w:val="24"/>
          <w:szCs w:val="24"/>
          <w:lang w:val="uk-UA"/>
        </w:rPr>
        <w:t xml:space="preserve">Андрій </w:t>
      </w:r>
      <w:proofErr w:type="spellStart"/>
      <w:r w:rsidRPr="00F25C40">
        <w:rPr>
          <w:sz w:val="24"/>
          <w:szCs w:val="24"/>
          <w:lang w:val="uk-UA"/>
        </w:rPr>
        <w:t>Марусов</w:t>
      </w:r>
      <w:proofErr w:type="spellEnd"/>
    </w:p>
    <w:p w:rsidR="003902D8" w:rsidRDefault="003902D8" w:rsidP="003902D8">
      <w:pPr>
        <w:jc w:val="right"/>
        <w:rPr>
          <w:sz w:val="24"/>
          <w:szCs w:val="24"/>
          <w:lang w:val="uk-UA"/>
        </w:rPr>
      </w:pPr>
    </w:p>
    <w:p w:rsidR="005335BE" w:rsidRDefault="005335BE" w:rsidP="003902D8">
      <w:pPr>
        <w:jc w:val="right"/>
        <w:rPr>
          <w:sz w:val="24"/>
          <w:szCs w:val="24"/>
          <w:lang w:val="uk-UA"/>
        </w:rPr>
      </w:pPr>
    </w:p>
    <w:p w:rsidR="005335BE" w:rsidRPr="005335BE" w:rsidRDefault="005335BE" w:rsidP="003902D8">
      <w:pPr>
        <w:jc w:val="right"/>
        <w:rPr>
          <w:sz w:val="24"/>
          <w:szCs w:val="24"/>
          <w:lang w:val="uk-UA"/>
        </w:rPr>
      </w:pPr>
    </w:p>
    <w:p w:rsidR="003902D8" w:rsidRPr="00962E13" w:rsidRDefault="003902D8" w:rsidP="003902D8">
      <w:pPr>
        <w:rPr>
          <w:sz w:val="24"/>
          <w:szCs w:val="24"/>
        </w:rPr>
      </w:pPr>
      <w:r w:rsidRPr="00962E13">
        <w:rPr>
          <w:sz w:val="24"/>
          <w:szCs w:val="24"/>
        </w:rPr>
        <w:br w:type="page"/>
      </w:r>
    </w:p>
    <w:p w:rsidR="003902D8" w:rsidRPr="00C24F10" w:rsidRDefault="003902D8" w:rsidP="003902D8">
      <w:pPr>
        <w:pStyle w:val="1"/>
        <w:numPr>
          <w:ilvl w:val="0"/>
          <w:numId w:val="1"/>
        </w:numPr>
        <w:pBdr>
          <w:top w:val="single" w:sz="4" w:space="1" w:color="auto"/>
          <w:left w:val="single" w:sz="4" w:space="31" w:color="auto"/>
          <w:bottom w:val="single" w:sz="4" w:space="0" w:color="auto"/>
          <w:right w:val="single" w:sz="4" w:space="8" w:color="auto"/>
        </w:pBdr>
        <w:spacing w:before="120" w:after="0" w:line="240" w:lineRule="auto"/>
        <w:ind w:left="142" w:hanging="87"/>
        <w:contextualSpacing w:val="0"/>
        <w:rPr>
          <w:b/>
          <w:sz w:val="26"/>
          <w:szCs w:val="26"/>
        </w:rPr>
      </w:pPr>
      <w:r w:rsidRPr="00C24F10">
        <w:rPr>
          <w:b/>
          <w:sz w:val="26"/>
          <w:szCs w:val="26"/>
          <w:lang w:val="uk-UA"/>
        </w:rPr>
        <w:lastRenderedPageBreak/>
        <w:t>Короткий виклад результа</w:t>
      </w:r>
      <w:r>
        <w:rPr>
          <w:b/>
          <w:sz w:val="26"/>
          <w:szCs w:val="26"/>
          <w:lang w:val="uk-UA"/>
        </w:rPr>
        <w:t>тів громадської антикорупційної експертизи</w:t>
      </w:r>
    </w:p>
    <w:p w:rsidR="003902D8" w:rsidRDefault="003902D8" w:rsidP="003902D8">
      <w:pPr>
        <w:pStyle w:val="1"/>
        <w:numPr>
          <w:ilvl w:val="0"/>
          <w:numId w:val="2"/>
        </w:numPr>
        <w:spacing w:before="120" w:after="0" w:line="240" w:lineRule="auto"/>
        <w:ind w:left="0" w:right="-711" w:firstLine="0"/>
        <w:contextualSpacing w:val="0"/>
        <w:rPr>
          <w:b/>
          <w:sz w:val="26"/>
          <w:szCs w:val="24"/>
          <w:lang w:val="uk-UA"/>
        </w:rPr>
      </w:pPr>
      <w:r>
        <w:rPr>
          <w:b/>
          <w:sz w:val="26"/>
          <w:szCs w:val="24"/>
          <w:lang w:val="uk-UA"/>
        </w:rPr>
        <w:t>Задекларована</w:t>
      </w:r>
      <w:r w:rsidRPr="005D4B7A">
        <w:rPr>
          <w:b/>
          <w:sz w:val="26"/>
          <w:szCs w:val="24"/>
          <w:lang w:val="uk-UA"/>
        </w:rPr>
        <w:t xml:space="preserve"> ціль та способи її досягнення: </w:t>
      </w:r>
    </w:p>
    <w:p w:rsidR="003902D8" w:rsidRPr="00A84C07" w:rsidRDefault="003902D8" w:rsidP="003902D8">
      <w:pPr>
        <w:pStyle w:val="1"/>
        <w:spacing w:before="120" w:after="0" w:line="240" w:lineRule="auto"/>
        <w:ind w:left="0" w:right="-711"/>
        <w:contextualSpacing w:val="0"/>
        <w:rPr>
          <w:sz w:val="26"/>
          <w:szCs w:val="24"/>
          <w:lang w:val="uk-UA"/>
        </w:rPr>
      </w:pPr>
      <w:r w:rsidRPr="00333766">
        <w:rPr>
          <w:b/>
          <w:sz w:val="24"/>
          <w:szCs w:val="24"/>
          <w:lang w:val="uk-UA"/>
        </w:rPr>
        <w:t xml:space="preserve">Ціль: </w:t>
      </w:r>
      <w:r w:rsidR="00A84C07" w:rsidRPr="00A84C07">
        <w:rPr>
          <w:sz w:val="24"/>
          <w:szCs w:val="24"/>
          <w:lang w:val="uk-UA"/>
        </w:rPr>
        <w:t xml:space="preserve">Забезпечення </w:t>
      </w:r>
      <w:r w:rsidR="00A84C07">
        <w:rPr>
          <w:sz w:val="24"/>
          <w:szCs w:val="24"/>
          <w:lang w:val="uk-UA"/>
        </w:rPr>
        <w:t xml:space="preserve">повноцінного харчування дітей у державних навчальних закладах </w:t>
      </w:r>
    </w:p>
    <w:p w:rsidR="00A84C07" w:rsidRPr="00A84C07" w:rsidRDefault="003902D8" w:rsidP="00A84C07">
      <w:pPr>
        <w:pStyle w:val="1"/>
        <w:spacing w:before="120" w:after="0" w:line="240" w:lineRule="auto"/>
        <w:ind w:left="0"/>
        <w:contextualSpacing w:val="0"/>
        <w:jc w:val="both"/>
        <w:rPr>
          <w:sz w:val="24"/>
          <w:szCs w:val="24"/>
          <w:lang w:val="uk-UA"/>
        </w:rPr>
      </w:pPr>
      <w:r w:rsidRPr="00DE57C4">
        <w:rPr>
          <w:rFonts w:cs="Arial"/>
          <w:b/>
          <w:sz w:val="24"/>
          <w:szCs w:val="24"/>
          <w:lang w:val="uk-UA"/>
        </w:rPr>
        <w:t>Спосіб досягнення:</w:t>
      </w:r>
      <w:r>
        <w:rPr>
          <w:rFonts w:cs="Arial"/>
          <w:sz w:val="24"/>
          <w:szCs w:val="24"/>
          <w:lang w:val="uk-UA"/>
        </w:rPr>
        <w:t xml:space="preserve"> </w:t>
      </w:r>
      <w:r w:rsidR="00A84C07" w:rsidRPr="00A84C07">
        <w:rPr>
          <w:rFonts w:cs="Arial"/>
          <w:sz w:val="24"/>
          <w:szCs w:val="24"/>
          <w:lang w:val="uk-UA"/>
        </w:rPr>
        <w:t xml:space="preserve">Виведення закупівлі продуктів та \ або послуг з харчування дітей у </w:t>
      </w:r>
      <w:r w:rsidR="00A84C07" w:rsidRPr="00A84C07">
        <w:rPr>
          <w:sz w:val="24"/>
          <w:szCs w:val="24"/>
          <w:lang w:val="uk-UA"/>
        </w:rPr>
        <w:t xml:space="preserve">дошкільних, загальноосвітніх навчальних закладах та закладах для громадян, які потребують соціальної допомоги та реабілітації державної та комунальної власності, з-під дії ЗУ «Про здійснення державних закупівель». Одночасно, на відповідних замовників покладається обов’язок закуповувати продукти харчування за цінами, що не перевищують офіційні середньостатистичні ціни на момент закупівлі продуктів харчування. </w:t>
      </w:r>
    </w:p>
    <w:p w:rsidR="003902D8" w:rsidRPr="005D4B7A" w:rsidRDefault="003902D8" w:rsidP="003902D8">
      <w:pPr>
        <w:pStyle w:val="1"/>
        <w:numPr>
          <w:ilvl w:val="0"/>
          <w:numId w:val="2"/>
        </w:numPr>
        <w:spacing w:before="120" w:after="0" w:line="240" w:lineRule="auto"/>
        <w:ind w:left="0" w:right="-709" w:firstLine="0"/>
        <w:contextualSpacing w:val="0"/>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5C3C4F">
        <w:rPr>
          <w:sz w:val="24"/>
          <w:szCs w:val="24"/>
          <w:lang w:val="uk-UA"/>
        </w:rPr>
        <w:t>наявний</w:t>
      </w:r>
      <w:r>
        <w:rPr>
          <w:sz w:val="26"/>
          <w:szCs w:val="24"/>
          <w:lang w:val="uk-UA"/>
        </w:rPr>
        <w:t xml:space="preserve"> </w:t>
      </w:r>
    </w:p>
    <w:p w:rsidR="003902D8" w:rsidRDefault="003902D8" w:rsidP="003902D8">
      <w:pPr>
        <w:spacing w:before="120" w:after="0" w:line="240" w:lineRule="auto"/>
        <w:jc w:val="both"/>
        <w:rPr>
          <w:sz w:val="24"/>
          <w:szCs w:val="24"/>
          <w:lang w:val="uk-UA"/>
        </w:rPr>
      </w:pPr>
      <w:r w:rsidRPr="005D4B7A">
        <w:rPr>
          <w:b/>
          <w:i/>
          <w:sz w:val="26"/>
          <w:szCs w:val="24"/>
          <w:lang w:val="uk-UA"/>
        </w:rPr>
        <w:t>Яким чином може працювати корупційна схема:</w:t>
      </w:r>
      <w:r>
        <w:rPr>
          <w:sz w:val="24"/>
          <w:szCs w:val="24"/>
          <w:lang w:val="uk-UA"/>
        </w:rPr>
        <w:t xml:space="preserve"> </w:t>
      </w:r>
    </w:p>
    <w:p w:rsidR="00203F73" w:rsidRDefault="00203F73" w:rsidP="00962E13">
      <w:pPr>
        <w:spacing w:before="120" w:after="0" w:line="240" w:lineRule="auto"/>
        <w:ind w:right="-711"/>
        <w:rPr>
          <w:sz w:val="24"/>
          <w:szCs w:val="24"/>
          <w:lang w:val="uk-UA"/>
        </w:rPr>
      </w:pPr>
      <w:r>
        <w:rPr>
          <w:sz w:val="24"/>
          <w:szCs w:val="24"/>
          <w:lang w:val="uk-UA"/>
        </w:rPr>
        <w:t xml:space="preserve">Законопроект пропонує, щоб продукти харчування для дітей у державних навчальних закладах закуповувалися керівниками цих закладів або відповідних управлінь освіти на власний розсуд, без оприлюднення інформації про їхні результати. </w:t>
      </w:r>
    </w:p>
    <w:p w:rsidR="00203F73" w:rsidRDefault="00203F73" w:rsidP="00962E13">
      <w:pPr>
        <w:spacing w:before="120" w:after="0" w:line="240" w:lineRule="auto"/>
        <w:ind w:right="-711"/>
        <w:rPr>
          <w:sz w:val="24"/>
          <w:szCs w:val="24"/>
          <w:lang w:val="uk-UA"/>
        </w:rPr>
      </w:pPr>
      <w:r>
        <w:rPr>
          <w:sz w:val="24"/>
          <w:szCs w:val="24"/>
          <w:lang w:val="uk-UA"/>
        </w:rPr>
        <w:t xml:space="preserve">Закритість закупівель та знищення конкуренції в цій сфері сприятиме здійсненню корупційних закупівель, із отриманням замовникам неправомірних вигід.  </w:t>
      </w:r>
    </w:p>
    <w:p w:rsidR="00203F73" w:rsidRPr="00C63174" w:rsidRDefault="00203F73" w:rsidP="00962E13">
      <w:pPr>
        <w:spacing w:before="120" w:after="0" w:line="240" w:lineRule="auto"/>
        <w:ind w:right="-711"/>
        <w:rPr>
          <w:sz w:val="24"/>
          <w:szCs w:val="24"/>
          <w:lang w:val="uk-UA"/>
        </w:rPr>
      </w:pPr>
      <w:r>
        <w:rPr>
          <w:sz w:val="24"/>
          <w:szCs w:val="24"/>
          <w:lang w:val="uk-UA"/>
        </w:rPr>
        <w:t>Покладання на них обов’язку проводити закупівлі за «офіційними середньостатистичними цінами» не змож</w:t>
      </w:r>
      <w:r w:rsidR="00C63174">
        <w:rPr>
          <w:sz w:val="24"/>
          <w:szCs w:val="24"/>
          <w:lang w:val="uk-UA"/>
        </w:rPr>
        <w:t>е мінімізувати негативний вплив, оскільки ані законопроект, ані дотичне законодавство не має чіткого визначення таких цін. Проект також не містить чіткої вказівки, які органи державної влади будуть контролювати дотримання цього обов’язку (первісний варіант проекту від 21.01.13 не містив такого обов’язку; він з</w:t>
      </w:r>
      <w:r w:rsidR="00C63174" w:rsidRPr="00C63174">
        <w:rPr>
          <w:sz w:val="24"/>
          <w:szCs w:val="24"/>
          <w:lang w:val="uk-UA"/>
        </w:rPr>
        <w:t>’</w:t>
      </w:r>
      <w:r w:rsidR="00C63174">
        <w:rPr>
          <w:sz w:val="24"/>
          <w:szCs w:val="24"/>
          <w:lang w:val="uk-UA"/>
        </w:rPr>
        <w:t>явився внаслідок його доопрацювання автором).</w:t>
      </w:r>
    </w:p>
    <w:p w:rsidR="00C63174" w:rsidRDefault="00C63174" w:rsidP="00203F73">
      <w:pPr>
        <w:spacing w:before="120" w:after="0" w:line="240" w:lineRule="auto"/>
        <w:ind w:right="-711"/>
        <w:rPr>
          <w:sz w:val="24"/>
          <w:szCs w:val="24"/>
          <w:lang w:val="uk-UA"/>
        </w:rPr>
      </w:pPr>
      <w:r>
        <w:rPr>
          <w:sz w:val="24"/>
          <w:szCs w:val="24"/>
          <w:lang w:val="uk-UA"/>
        </w:rPr>
        <w:t>П</w:t>
      </w:r>
      <w:r w:rsidR="00203F73">
        <w:rPr>
          <w:sz w:val="24"/>
          <w:szCs w:val="24"/>
          <w:lang w:val="uk-UA"/>
        </w:rPr>
        <w:t>ояснювальна записка не наводить чітких аргументів, чому вчасне проведення вказ</w:t>
      </w:r>
      <w:r>
        <w:rPr>
          <w:sz w:val="24"/>
          <w:szCs w:val="24"/>
          <w:lang w:val="uk-UA"/>
        </w:rPr>
        <w:t>аних закупівель ускладнюється іс</w:t>
      </w:r>
      <w:r w:rsidR="00203F73">
        <w:rPr>
          <w:sz w:val="24"/>
          <w:szCs w:val="24"/>
          <w:lang w:val="uk-UA"/>
        </w:rPr>
        <w:t xml:space="preserve">нуючим чинним законодавством. </w:t>
      </w:r>
      <w:r>
        <w:rPr>
          <w:sz w:val="24"/>
          <w:szCs w:val="24"/>
          <w:lang w:val="uk-UA"/>
        </w:rPr>
        <w:t xml:space="preserve">Навпаки, ЗУ «Про здійснення державних закупівель» дозволяє замовникам скорочувати строк процедур закупівлі продуктів харчування з 30 до 15 днів у разі обґрунтованої нагальної потреби.  </w:t>
      </w:r>
    </w:p>
    <w:p w:rsidR="003902D8" w:rsidRPr="00C63174" w:rsidRDefault="003902D8" w:rsidP="003902D8">
      <w:pPr>
        <w:spacing w:before="120" w:after="0" w:line="240" w:lineRule="auto"/>
        <w:jc w:val="both"/>
        <w:rPr>
          <w:sz w:val="24"/>
          <w:szCs w:val="24"/>
          <w:lang w:val="uk-UA"/>
        </w:rPr>
      </w:pPr>
      <w:r w:rsidRPr="005D4B7A">
        <w:rPr>
          <w:b/>
          <w:i/>
          <w:sz w:val="26"/>
          <w:szCs w:val="24"/>
          <w:lang w:val="uk-UA"/>
        </w:rPr>
        <w:t>Хто може отримувати корупційну вигоду:</w:t>
      </w:r>
      <w:r w:rsidRPr="005D4B7A">
        <w:rPr>
          <w:sz w:val="26"/>
          <w:szCs w:val="24"/>
          <w:lang w:val="uk-UA"/>
        </w:rPr>
        <w:t xml:space="preserve"> </w:t>
      </w:r>
      <w:r w:rsidR="00C63174" w:rsidRPr="00C63174">
        <w:rPr>
          <w:sz w:val="24"/>
          <w:szCs w:val="24"/>
          <w:lang w:val="uk-UA"/>
        </w:rPr>
        <w:t xml:space="preserve">замовники </w:t>
      </w:r>
      <w:r w:rsidR="00C63174">
        <w:rPr>
          <w:sz w:val="24"/>
          <w:szCs w:val="24"/>
          <w:lang w:val="uk-UA"/>
        </w:rPr>
        <w:t>продуктів харчування (керівники державних навчальних закладів та управлінь освіти)</w:t>
      </w:r>
    </w:p>
    <w:p w:rsidR="003902D8" w:rsidRPr="005D4B7A" w:rsidRDefault="003902D8" w:rsidP="003902D8">
      <w:pPr>
        <w:spacing w:before="120" w:after="0" w:line="240" w:lineRule="auto"/>
        <w:jc w:val="both"/>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Pr="008F0ADC">
        <w:rPr>
          <w:sz w:val="24"/>
          <w:szCs w:val="24"/>
          <w:lang w:val="uk-UA"/>
        </w:rPr>
        <w:t>на стадії оцінки</w:t>
      </w:r>
      <w:r w:rsidRPr="005D4B7A">
        <w:rPr>
          <w:sz w:val="26"/>
          <w:szCs w:val="24"/>
          <w:lang w:val="uk-UA"/>
        </w:rPr>
        <w:t xml:space="preserve">  </w:t>
      </w:r>
    </w:p>
    <w:p w:rsidR="003902D8" w:rsidRPr="006D51AB" w:rsidRDefault="003902D8" w:rsidP="003902D8">
      <w:pPr>
        <w:spacing w:before="120" w:after="0" w:line="240" w:lineRule="auto"/>
        <w:jc w:val="both"/>
        <w:rPr>
          <w:sz w:val="24"/>
          <w:szCs w:val="24"/>
          <w:lang w:val="uk-UA"/>
        </w:rPr>
      </w:pPr>
      <w:r w:rsidRPr="005D4B7A">
        <w:rPr>
          <w:b/>
          <w:i/>
          <w:sz w:val="26"/>
          <w:szCs w:val="24"/>
          <w:lang w:val="uk-UA"/>
        </w:rPr>
        <w:t>Хто платитиме корупційні внески:</w:t>
      </w:r>
      <w:r w:rsidRPr="00367AAC">
        <w:rPr>
          <w:sz w:val="24"/>
          <w:szCs w:val="24"/>
          <w:lang w:val="uk-UA"/>
        </w:rPr>
        <w:t xml:space="preserve"> </w:t>
      </w:r>
      <w:r w:rsidR="00C63174">
        <w:rPr>
          <w:sz w:val="24"/>
          <w:szCs w:val="24"/>
          <w:lang w:val="uk-UA"/>
        </w:rPr>
        <w:t xml:space="preserve">постачальники продуктів харчування </w:t>
      </w:r>
    </w:p>
    <w:p w:rsidR="003902D8" w:rsidRPr="005D4B7A" w:rsidRDefault="003902D8" w:rsidP="003902D8">
      <w:pPr>
        <w:pStyle w:val="1"/>
        <w:numPr>
          <w:ilvl w:val="0"/>
          <w:numId w:val="2"/>
        </w:numPr>
        <w:spacing w:before="120" w:after="0" w:line="240" w:lineRule="auto"/>
        <w:ind w:left="0" w:right="-711" w:firstLine="0"/>
        <w:rPr>
          <w:b/>
          <w:sz w:val="26"/>
          <w:szCs w:val="24"/>
          <w:lang w:val="uk-UA"/>
        </w:rPr>
      </w:pPr>
      <w:r w:rsidRPr="005D4B7A">
        <w:rPr>
          <w:b/>
          <w:sz w:val="26"/>
          <w:szCs w:val="24"/>
          <w:lang w:val="uk-UA"/>
        </w:rPr>
        <w:t xml:space="preserve">Втрати та жертви </w:t>
      </w:r>
    </w:p>
    <w:p w:rsidR="003902D8" w:rsidRDefault="003902D8" w:rsidP="003902D8">
      <w:pPr>
        <w:spacing w:before="120" w:after="0" w:line="240" w:lineRule="auto"/>
        <w:jc w:val="both"/>
        <w:rPr>
          <w:sz w:val="24"/>
          <w:szCs w:val="24"/>
          <w:lang w:val="uk-UA"/>
        </w:rPr>
      </w:pPr>
      <w:r w:rsidRPr="008F0ADC">
        <w:rPr>
          <w:sz w:val="24"/>
          <w:szCs w:val="24"/>
          <w:lang w:val="uk-UA"/>
        </w:rPr>
        <w:t xml:space="preserve">Ключові </w:t>
      </w:r>
      <w:r w:rsidRPr="008F0ADC">
        <w:rPr>
          <w:b/>
          <w:i/>
          <w:sz w:val="24"/>
          <w:szCs w:val="24"/>
          <w:lang w:val="uk-UA"/>
        </w:rPr>
        <w:t>негативні наслідки</w:t>
      </w:r>
      <w:r w:rsidRPr="008F0ADC">
        <w:rPr>
          <w:sz w:val="24"/>
          <w:szCs w:val="24"/>
          <w:lang w:val="uk-UA"/>
        </w:rPr>
        <w:t xml:space="preserve">: </w:t>
      </w:r>
    </w:p>
    <w:p w:rsidR="00962E13" w:rsidRDefault="00962E13" w:rsidP="00962E13">
      <w:pPr>
        <w:pStyle w:val="1"/>
        <w:spacing w:before="120" w:after="0" w:line="240" w:lineRule="auto"/>
        <w:ind w:left="0" w:right="-711"/>
        <w:rPr>
          <w:sz w:val="24"/>
          <w:szCs w:val="24"/>
          <w:lang w:val="uk-UA"/>
        </w:rPr>
      </w:pPr>
      <w:r>
        <w:rPr>
          <w:sz w:val="24"/>
          <w:szCs w:val="24"/>
          <w:lang w:val="uk-UA"/>
        </w:rPr>
        <w:t>У разі реалізації корупційного сценарію, вірогідним є невиправда</w:t>
      </w:r>
      <w:r w:rsidR="00C63174">
        <w:rPr>
          <w:sz w:val="24"/>
          <w:szCs w:val="24"/>
          <w:lang w:val="uk-UA"/>
        </w:rPr>
        <w:t xml:space="preserve">не витрачання державних коштів та </w:t>
      </w:r>
      <w:r>
        <w:rPr>
          <w:sz w:val="24"/>
          <w:szCs w:val="24"/>
          <w:lang w:val="uk-UA"/>
        </w:rPr>
        <w:t xml:space="preserve">придбання </w:t>
      </w:r>
      <w:r w:rsidR="00C63174">
        <w:rPr>
          <w:sz w:val="24"/>
          <w:szCs w:val="24"/>
          <w:lang w:val="uk-UA"/>
        </w:rPr>
        <w:t xml:space="preserve">продуктів харчування </w:t>
      </w:r>
      <w:r>
        <w:rPr>
          <w:sz w:val="24"/>
          <w:szCs w:val="24"/>
          <w:lang w:val="uk-UA"/>
        </w:rPr>
        <w:t xml:space="preserve">за завищеною ціною або неналежної якості. Врешті-решт, це може призвести до результату, що суперечить задекларованій меті законопроекту, - </w:t>
      </w:r>
      <w:r w:rsidR="00C63174">
        <w:rPr>
          <w:sz w:val="24"/>
          <w:szCs w:val="24"/>
          <w:lang w:val="uk-UA"/>
        </w:rPr>
        <w:t xml:space="preserve">до зриву повноцінного харчування дітей. </w:t>
      </w:r>
    </w:p>
    <w:p w:rsidR="003902D8" w:rsidRPr="009460CE" w:rsidRDefault="003902D8" w:rsidP="00C63174">
      <w:pPr>
        <w:pStyle w:val="1"/>
        <w:spacing w:before="120" w:after="0" w:line="240" w:lineRule="auto"/>
        <w:ind w:left="0"/>
        <w:contextualSpacing w:val="0"/>
        <w:jc w:val="both"/>
        <w:rPr>
          <w:sz w:val="24"/>
          <w:szCs w:val="24"/>
          <w:lang w:val="uk-UA"/>
        </w:rPr>
      </w:pPr>
      <w:r w:rsidRPr="00C63174">
        <w:rPr>
          <w:b/>
          <w:i/>
          <w:sz w:val="26"/>
          <w:szCs w:val="26"/>
          <w:lang w:val="uk-UA"/>
        </w:rPr>
        <w:t>Хто може потерпати від корупційної схеми:</w:t>
      </w:r>
      <w:r w:rsidRPr="009460CE">
        <w:rPr>
          <w:sz w:val="24"/>
          <w:szCs w:val="24"/>
          <w:lang w:val="uk-UA"/>
        </w:rPr>
        <w:t xml:space="preserve"> </w:t>
      </w:r>
      <w:r w:rsidR="00C63174">
        <w:rPr>
          <w:sz w:val="24"/>
          <w:szCs w:val="24"/>
          <w:lang w:val="uk-UA"/>
        </w:rPr>
        <w:t xml:space="preserve">батьки дітей; </w:t>
      </w:r>
      <w:r w:rsidR="00A84C07">
        <w:rPr>
          <w:sz w:val="24"/>
          <w:szCs w:val="24"/>
          <w:lang w:val="uk-UA"/>
        </w:rPr>
        <w:t>платники податків України</w:t>
      </w:r>
    </w:p>
    <w:p w:rsidR="003902D8" w:rsidRDefault="003902D8" w:rsidP="003902D8">
      <w:pPr>
        <w:pStyle w:val="1"/>
        <w:numPr>
          <w:ilvl w:val="0"/>
          <w:numId w:val="2"/>
        </w:numPr>
        <w:spacing w:before="120" w:after="0" w:line="240" w:lineRule="auto"/>
        <w:ind w:left="0" w:firstLine="0"/>
        <w:contextualSpacing w:val="0"/>
        <w:jc w:val="both"/>
        <w:rPr>
          <w:sz w:val="26"/>
          <w:szCs w:val="24"/>
          <w:lang w:val="uk-UA"/>
        </w:rPr>
      </w:pPr>
      <w:r w:rsidRPr="005D4B7A">
        <w:rPr>
          <w:b/>
          <w:sz w:val="26"/>
          <w:szCs w:val="24"/>
          <w:lang w:val="uk-UA"/>
        </w:rPr>
        <w:t>Висновки та рекомендації:</w:t>
      </w:r>
      <w:r w:rsidRPr="005D4B7A">
        <w:rPr>
          <w:sz w:val="26"/>
          <w:szCs w:val="24"/>
          <w:lang w:val="uk-UA"/>
        </w:rPr>
        <w:t xml:space="preserve"> </w:t>
      </w:r>
    </w:p>
    <w:p w:rsidR="00C63174" w:rsidRDefault="00C63174" w:rsidP="003902D8">
      <w:pPr>
        <w:pStyle w:val="1"/>
        <w:spacing w:before="120" w:after="0" w:line="240" w:lineRule="auto"/>
        <w:ind w:left="0"/>
        <w:contextualSpacing w:val="0"/>
        <w:jc w:val="both"/>
        <w:rPr>
          <w:sz w:val="24"/>
          <w:szCs w:val="24"/>
          <w:lang w:val="uk-UA"/>
        </w:rPr>
      </w:pPr>
      <w:r>
        <w:rPr>
          <w:sz w:val="24"/>
          <w:szCs w:val="24"/>
          <w:lang w:val="uk-UA"/>
        </w:rPr>
        <w:t>У проекті виявлені серйозні корупційні ризики. Рекомендується відхилити законопроект.</w:t>
      </w:r>
    </w:p>
    <w:p w:rsidR="003902D8" w:rsidRDefault="003902D8" w:rsidP="003902D8">
      <w:pPr>
        <w:pStyle w:val="1"/>
        <w:spacing w:before="120" w:after="0" w:line="240" w:lineRule="auto"/>
        <w:ind w:left="0"/>
        <w:contextualSpacing w:val="0"/>
        <w:jc w:val="both"/>
        <w:rPr>
          <w:sz w:val="24"/>
          <w:szCs w:val="24"/>
          <w:lang w:val="uk-UA"/>
        </w:rPr>
      </w:pPr>
      <w:r>
        <w:rPr>
          <w:sz w:val="24"/>
          <w:szCs w:val="24"/>
          <w:lang w:val="uk-UA"/>
        </w:rPr>
        <w:lastRenderedPageBreak/>
        <w:t xml:space="preserve"> </w:t>
      </w:r>
    </w:p>
    <w:p w:rsidR="003902D8" w:rsidRPr="00271BF1" w:rsidRDefault="003902D8" w:rsidP="003902D8">
      <w:pPr>
        <w:pBdr>
          <w:top w:val="single" w:sz="4" w:space="1" w:color="auto"/>
          <w:left w:val="single" w:sz="4" w:space="4" w:color="auto"/>
          <w:bottom w:val="single" w:sz="4" w:space="1" w:color="auto"/>
          <w:right w:val="single" w:sz="4" w:space="4" w:color="auto"/>
        </w:pBdr>
        <w:rPr>
          <w:b/>
          <w:sz w:val="26"/>
          <w:szCs w:val="26"/>
          <w:lang w:val="uk-UA"/>
        </w:rPr>
      </w:pPr>
      <w:r w:rsidRPr="00271BF1">
        <w:rPr>
          <w:b/>
          <w:sz w:val="26"/>
          <w:szCs w:val="26"/>
          <w:lang w:val="uk-UA"/>
        </w:rPr>
        <w:t>ІІ. Детальний виклад результатів громадської антикорупційної експертизи</w:t>
      </w:r>
    </w:p>
    <w:p w:rsidR="003902D8" w:rsidRDefault="003902D8" w:rsidP="003902D8">
      <w:pPr>
        <w:pStyle w:val="1"/>
        <w:numPr>
          <w:ilvl w:val="0"/>
          <w:numId w:val="2"/>
        </w:numPr>
        <w:spacing w:after="120" w:line="240" w:lineRule="auto"/>
        <w:ind w:left="714" w:hanging="357"/>
        <w:contextualSpacing w:val="0"/>
        <w:rPr>
          <w:b/>
          <w:sz w:val="24"/>
          <w:szCs w:val="24"/>
          <w:lang w:val="uk-UA"/>
        </w:rPr>
      </w:pPr>
      <w:r w:rsidRPr="001E2478">
        <w:rPr>
          <w:b/>
          <w:sz w:val="24"/>
          <w:szCs w:val="24"/>
          <w:lang w:val="uk-UA"/>
        </w:rPr>
        <w:t xml:space="preserve">Задекларована суть законопроекту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1"/>
        <w:gridCol w:w="4929"/>
      </w:tblGrid>
      <w:tr w:rsidR="003902D8" w:rsidRPr="00B9319E" w:rsidTr="00EE45D5">
        <w:tc>
          <w:tcPr>
            <w:tcW w:w="4642" w:type="dxa"/>
          </w:tcPr>
          <w:p w:rsidR="003902D8" w:rsidRPr="00B9319E" w:rsidRDefault="003902D8" w:rsidP="00EE45D5">
            <w:pPr>
              <w:spacing w:after="0" w:line="240" w:lineRule="auto"/>
              <w:jc w:val="center"/>
              <w:rPr>
                <w:b/>
                <w:i/>
                <w:sz w:val="24"/>
                <w:szCs w:val="24"/>
                <w:lang w:val="uk-UA"/>
              </w:rPr>
            </w:pPr>
            <w:r w:rsidRPr="00B9319E">
              <w:rPr>
                <w:b/>
                <w:i/>
                <w:sz w:val="24"/>
                <w:szCs w:val="24"/>
                <w:lang w:val="uk-UA"/>
              </w:rPr>
              <w:t>Ціль</w:t>
            </w:r>
          </w:p>
        </w:tc>
        <w:tc>
          <w:tcPr>
            <w:tcW w:w="4929" w:type="dxa"/>
          </w:tcPr>
          <w:p w:rsidR="003902D8" w:rsidRPr="00B9319E" w:rsidRDefault="003902D8" w:rsidP="00EE45D5">
            <w:pPr>
              <w:spacing w:after="0" w:line="240" w:lineRule="auto"/>
              <w:jc w:val="center"/>
              <w:rPr>
                <w:b/>
                <w:i/>
                <w:sz w:val="24"/>
                <w:szCs w:val="24"/>
                <w:lang w:val="uk-UA"/>
              </w:rPr>
            </w:pPr>
            <w:r w:rsidRPr="00B9319E">
              <w:rPr>
                <w:b/>
                <w:i/>
                <w:sz w:val="24"/>
                <w:szCs w:val="24"/>
                <w:lang w:val="uk-UA"/>
              </w:rPr>
              <w:t>Спосіб досягнення</w:t>
            </w:r>
          </w:p>
        </w:tc>
      </w:tr>
      <w:tr w:rsidR="003902D8" w:rsidRPr="00AE24E2" w:rsidTr="00EE45D5">
        <w:tc>
          <w:tcPr>
            <w:tcW w:w="4642" w:type="dxa"/>
          </w:tcPr>
          <w:p w:rsidR="003902D8" w:rsidRPr="00AE24E2" w:rsidRDefault="007A1CC1" w:rsidP="00EE45D5">
            <w:pPr>
              <w:spacing w:before="120" w:after="0" w:line="240" w:lineRule="auto"/>
              <w:jc w:val="both"/>
              <w:rPr>
                <w:sz w:val="24"/>
                <w:szCs w:val="24"/>
                <w:lang w:val="uk-UA"/>
              </w:rPr>
            </w:pPr>
            <w:r w:rsidRPr="00A84C07">
              <w:rPr>
                <w:sz w:val="24"/>
                <w:szCs w:val="24"/>
                <w:lang w:val="uk-UA"/>
              </w:rPr>
              <w:t xml:space="preserve">Забезпечення </w:t>
            </w:r>
            <w:r>
              <w:rPr>
                <w:sz w:val="24"/>
                <w:szCs w:val="24"/>
                <w:lang w:val="uk-UA"/>
              </w:rPr>
              <w:t>повноцінного харчування дітей у державних навчальних закладах</w:t>
            </w:r>
          </w:p>
        </w:tc>
        <w:tc>
          <w:tcPr>
            <w:tcW w:w="4929" w:type="dxa"/>
          </w:tcPr>
          <w:p w:rsidR="003902D8" w:rsidRPr="00AE24E2" w:rsidRDefault="007A1CC1" w:rsidP="00EE45D5">
            <w:pPr>
              <w:tabs>
                <w:tab w:val="left" w:pos="700"/>
              </w:tabs>
              <w:spacing w:after="0" w:line="240" w:lineRule="auto"/>
              <w:jc w:val="both"/>
              <w:rPr>
                <w:sz w:val="24"/>
                <w:szCs w:val="24"/>
                <w:lang w:val="uk-UA"/>
              </w:rPr>
            </w:pPr>
            <w:r w:rsidRPr="00A84C07">
              <w:rPr>
                <w:rFonts w:cs="Arial"/>
                <w:sz w:val="24"/>
                <w:szCs w:val="24"/>
                <w:lang w:val="uk-UA"/>
              </w:rPr>
              <w:t xml:space="preserve">Виведення закупівлі продуктів та \ або послуг з харчування дітей у </w:t>
            </w:r>
            <w:r w:rsidRPr="00A84C07">
              <w:rPr>
                <w:sz w:val="24"/>
                <w:szCs w:val="24"/>
                <w:lang w:val="uk-UA"/>
              </w:rPr>
              <w:t>дошкільних, загальноосвітніх навчальних закладах та закладах для громадян, які потребують соціальної допомоги та реабілітації державної та комунальної власності, з-під дії ЗУ «Про здійснення державних закупівель». Одночасно, на відповідних замовників покладається обов’язок закуповувати продукти харчування за цінами, що не перевищують офіційні середньостатистичні ціни на момент закупівлі продуктів харчування</w:t>
            </w:r>
          </w:p>
        </w:tc>
      </w:tr>
    </w:tbl>
    <w:p w:rsidR="003902D8" w:rsidRDefault="003902D8" w:rsidP="003902D8">
      <w:pPr>
        <w:pStyle w:val="1"/>
        <w:numPr>
          <w:ilvl w:val="0"/>
          <w:numId w:val="2"/>
        </w:numPr>
        <w:spacing w:before="120" w:after="120" w:line="240" w:lineRule="auto"/>
        <w:ind w:left="714" w:hanging="357"/>
        <w:contextualSpacing w:val="0"/>
        <w:rPr>
          <w:b/>
          <w:sz w:val="24"/>
          <w:szCs w:val="24"/>
          <w:lang w:val="uk-UA"/>
        </w:rPr>
      </w:pPr>
      <w:proofErr w:type="spellStart"/>
      <w:r w:rsidRPr="001E2478">
        <w:rPr>
          <w:b/>
          <w:sz w:val="24"/>
          <w:szCs w:val="24"/>
          <w:lang w:val="uk-UA"/>
        </w:rPr>
        <w:t>Корупціогенні</w:t>
      </w:r>
      <w:proofErr w:type="spellEnd"/>
      <w:r w:rsidRPr="001E2478">
        <w:rPr>
          <w:b/>
          <w:sz w:val="24"/>
          <w:szCs w:val="24"/>
          <w:lang w:val="uk-UA"/>
        </w:rPr>
        <w:t xml:space="preserve"> чинники та норм</w:t>
      </w:r>
    </w:p>
    <w:tbl>
      <w:tblPr>
        <w:tblW w:w="0" w:type="auto"/>
        <w:tblBorders>
          <w:top w:val="single" w:sz="8" w:space="0" w:color="000000"/>
          <w:bottom w:val="single" w:sz="8" w:space="0" w:color="000000"/>
        </w:tblBorders>
        <w:tblLook w:val="00A0"/>
      </w:tblPr>
      <w:tblGrid>
        <w:gridCol w:w="402"/>
        <w:gridCol w:w="6935"/>
        <w:gridCol w:w="2233"/>
      </w:tblGrid>
      <w:tr w:rsidR="003902D8" w:rsidRPr="00B9319E" w:rsidTr="00EE45D5">
        <w:tc>
          <w:tcPr>
            <w:tcW w:w="402" w:type="dxa"/>
            <w:tcBorders>
              <w:top w:val="single" w:sz="8" w:space="0" w:color="000000"/>
              <w:left w:val="nil"/>
              <w:bottom w:val="single" w:sz="8" w:space="0" w:color="000000"/>
              <w:right w:val="nil"/>
            </w:tcBorders>
          </w:tcPr>
          <w:p w:rsidR="003902D8" w:rsidRPr="00B9319E" w:rsidRDefault="003902D8" w:rsidP="00EE45D5">
            <w:pPr>
              <w:spacing w:after="0" w:line="240" w:lineRule="auto"/>
              <w:jc w:val="center"/>
              <w:rPr>
                <w:b/>
                <w:bCs/>
                <w:i/>
                <w:color w:val="000000"/>
                <w:sz w:val="24"/>
                <w:szCs w:val="24"/>
                <w:lang w:val="uk-UA"/>
              </w:rPr>
            </w:pPr>
          </w:p>
        </w:tc>
        <w:tc>
          <w:tcPr>
            <w:tcW w:w="6936" w:type="dxa"/>
            <w:tcBorders>
              <w:top w:val="single" w:sz="8" w:space="0" w:color="000000"/>
              <w:left w:val="nil"/>
              <w:bottom w:val="single" w:sz="8" w:space="0" w:color="000000"/>
              <w:right w:val="nil"/>
            </w:tcBorders>
          </w:tcPr>
          <w:p w:rsidR="003902D8" w:rsidRPr="00B9319E" w:rsidRDefault="003902D8" w:rsidP="00EE45D5">
            <w:pPr>
              <w:spacing w:after="0" w:line="240" w:lineRule="auto"/>
              <w:jc w:val="center"/>
              <w:rPr>
                <w:b/>
                <w:bCs/>
                <w:i/>
                <w:color w:val="000000"/>
                <w:sz w:val="24"/>
                <w:szCs w:val="24"/>
                <w:lang w:val="uk-UA"/>
              </w:rPr>
            </w:pPr>
            <w:proofErr w:type="spellStart"/>
            <w:r w:rsidRPr="00B9319E">
              <w:rPr>
                <w:b/>
                <w:bCs/>
                <w:i/>
                <w:color w:val="000000"/>
                <w:sz w:val="24"/>
                <w:szCs w:val="24"/>
                <w:lang w:val="uk-UA"/>
              </w:rPr>
              <w:t>Корупціогенний</w:t>
            </w:r>
            <w:proofErr w:type="spellEnd"/>
            <w:r w:rsidRPr="00B9319E">
              <w:rPr>
                <w:b/>
                <w:bCs/>
                <w:i/>
                <w:color w:val="000000"/>
                <w:sz w:val="24"/>
                <w:szCs w:val="24"/>
                <w:lang w:val="uk-UA"/>
              </w:rPr>
              <w:t xml:space="preserve"> чинник</w:t>
            </w:r>
          </w:p>
        </w:tc>
        <w:tc>
          <w:tcPr>
            <w:tcW w:w="2233" w:type="dxa"/>
            <w:tcBorders>
              <w:top w:val="single" w:sz="8" w:space="0" w:color="000000"/>
              <w:left w:val="nil"/>
              <w:bottom w:val="single" w:sz="8" w:space="0" w:color="000000"/>
              <w:right w:val="nil"/>
            </w:tcBorders>
          </w:tcPr>
          <w:p w:rsidR="003902D8" w:rsidRPr="00B9319E" w:rsidRDefault="003902D8" w:rsidP="00EE45D5">
            <w:pPr>
              <w:spacing w:after="0" w:line="240" w:lineRule="auto"/>
              <w:jc w:val="center"/>
              <w:rPr>
                <w:b/>
                <w:bCs/>
                <w:i/>
                <w:color w:val="000000"/>
                <w:sz w:val="24"/>
                <w:szCs w:val="24"/>
                <w:lang w:val="uk-UA"/>
              </w:rPr>
            </w:pPr>
            <w:r w:rsidRPr="00B9319E">
              <w:rPr>
                <w:b/>
                <w:bCs/>
                <w:i/>
                <w:color w:val="000000"/>
                <w:sz w:val="24"/>
                <w:szCs w:val="24"/>
                <w:lang w:val="uk-UA"/>
              </w:rPr>
              <w:t>Кількість норм</w:t>
            </w:r>
          </w:p>
        </w:tc>
      </w:tr>
      <w:tr w:rsidR="003902D8" w:rsidRPr="00B9319E" w:rsidTr="00EE45D5">
        <w:tc>
          <w:tcPr>
            <w:tcW w:w="402" w:type="dxa"/>
            <w:tcBorders>
              <w:left w:val="nil"/>
              <w:right w:val="nil"/>
            </w:tcBorders>
            <w:shd w:val="clear" w:color="auto" w:fill="C0C0C0"/>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1.</w:t>
            </w:r>
          </w:p>
        </w:tc>
        <w:tc>
          <w:tcPr>
            <w:tcW w:w="6936" w:type="dxa"/>
            <w:tcBorders>
              <w:left w:val="nil"/>
              <w:right w:val="nil"/>
            </w:tcBorders>
            <w:shd w:val="clear" w:color="auto" w:fill="C0C0C0"/>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Borders>
              <w:left w:val="nil"/>
              <w:right w:val="nil"/>
            </w:tcBorders>
            <w:shd w:val="clear" w:color="auto" w:fill="C0C0C0"/>
          </w:tcPr>
          <w:p w:rsidR="003902D8" w:rsidRPr="00B9319E" w:rsidRDefault="003902D8" w:rsidP="00EE45D5">
            <w:pPr>
              <w:spacing w:after="0" w:line="240" w:lineRule="auto"/>
              <w:jc w:val="center"/>
              <w:rPr>
                <w:color w:val="000000"/>
                <w:sz w:val="24"/>
                <w:szCs w:val="24"/>
                <w:lang w:val="uk-UA"/>
              </w:rPr>
            </w:pPr>
            <w:r>
              <w:rPr>
                <w:color w:val="000000"/>
                <w:sz w:val="24"/>
                <w:szCs w:val="24"/>
                <w:lang w:val="uk-UA"/>
              </w:rPr>
              <w:t>Не виявлено</w:t>
            </w:r>
          </w:p>
        </w:tc>
      </w:tr>
      <w:tr w:rsidR="003902D8" w:rsidRPr="00B9319E" w:rsidTr="00EE45D5">
        <w:tc>
          <w:tcPr>
            <w:tcW w:w="402" w:type="dxa"/>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2.</w:t>
            </w:r>
          </w:p>
        </w:tc>
        <w:tc>
          <w:tcPr>
            <w:tcW w:w="6936" w:type="dxa"/>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Порушення балансу інтересів та надмірні обтяження для одержувачів публічних послуг</w:t>
            </w:r>
          </w:p>
        </w:tc>
        <w:tc>
          <w:tcPr>
            <w:tcW w:w="2233" w:type="dxa"/>
          </w:tcPr>
          <w:p w:rsidR="003902D8" w:rsidRPr="00304690" w:rsidRDefault="00304690" w:rsidP="00EE45D5">
            <w:pPr>
              <w:spacing w:after="0" w:line="240" w:lineRule="auto"/>
              <w:jc w:val="center"/>
              <w:rPr>
                <w:b/>
                <w:color w:val="000000"/>
                <w:sz w:val="24"/>
                <w:szCs w:val="24"/>
                <w:lang w:val="uk-UA"/>
              </w:rPr>
            </w:pPr>
            <w:r w:rsidRPr="00304690">
              <w:rPr>
                <w:b/>
                <w:color w:val="000000"/>
                <w:sz w:val="24"/>
                <w:szCs w:val="24"/>
                <w:lang w:val="uk-UA"/>
              </w:rPr>
              <w:t>1</w:t>
            </w:r>
          </w:p>
        </w:tc>
      </w:tr>
      <w:tr w:rsidR="003902D8" w:rsidRPr="00B9319E" w:rsidTr="00EE45D5">
        <w:tc>
          <w:tcPr>
            <w:tcW w:w="402" w:type="dxa"/>
            <w:tcBorders>
              <w:left w:val="nil"/>
              <w:right w:val="nil"/>
            </w:tcBorders>
            <w:shd w:val="clear" w:color="auto" w:fill="C0C0C0"/>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3.</w:t>
            </w:r>
          </w:p>
        </w:tc>
        <w:tc>
          <w:tcPr>
            <w:tcW w:w="6936" w:type="dxa"/>
            <w:tcBorders>
              <w:left w:val="nil"/>
              <w:right w:val="nil"/>
            </w:tcBorders>
            <w:shd w:val="clear" w:color="auto" w:fill="C0C0C0"/>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Прогалини правового регулювання</w:t>
            </w:r>
          </w:p>
        </w:tc>
        <w:tc>
          <w:tcPr>
            <w:tcW w:w="2233" w:type="dxa"/>
            <w:tcBorders>
              <w:left w:val="nil"/>
              <w:right w:val="nil"/>
            </w:tcBorders>
            <w:shd w:val="clear" w:color="auto" w:fill="C0C0C0"/>
          </w:tcPr>
          <w:p w:rsidR="003902D8" w:rsidRPr="00A84C07" w:rsidRDefault="00A84C07" w:rsidP="00EE45D5">
            <w:pPr>
              <w:spacing w:after="0" w:line="240" w:lineRule="auto"/>
              <w:jc w:val="center"/>
              <w:rPr>
                <w:b/>
                <w:color w:val="000000"/>
                <w:sz w:val="24"/>
                <w:szCs w:val="24"/>
                <w:lang w:val="uk-UA"/>
              </w:rPr>
            </w:pPr>
            <w:r w:rsidRPr="00A84C07">
              <w:rPr>
                <w:b/>
                <w:color w:val="000000"/>
                <w:sz w:val="24"/>
                <w:szCs w:val="24"/>
                <w:lang w:val="uk-UA"/>
              </w:rPr>
              <w:t>1</w:t>
            </w:r>
          </w:p>
        </w:tc>
      </w:tr>
      <w:tr w:rsidR="003902D8" w:rsidRPr="00B9319E" w:rsidTr="00EE45D5">
        <w:tc>
          <w:tcPr>
            <w:tcW w:w="402" w:type="dxa"/>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4.</w:t>
            </w:r>
          </w:p>
        </w:tc>
        <w:tc>
          <w:tcPr>
            <w:tcW w:w="6936" w:type="dxa"/>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Колізії в законодавстві</w:t>
            </w:r>
          </w:p>
        </w:tc>
        <w:tc>
          <w:tcPr>
            <w:tcW w:w="2233" w:type="dxa"/>
          </w:tcPr>
          <w:p w:rsidR="003902D8" w:rsidRPr="00C4021F" w:rsidRDefault="003902D8" w:rsidP="00EE45D5">
            <w:pPr>
              <w:spacing w:after="0" w:line="240" w:lineRule="auto"/>
              <w:jc w:val="center"/>
              <w:rPr>
                <w:b/>
                <w:color w:val="000000"/>
                <w:sz w:val="24"/>
                <w:szCs w:val="24"/>
                <w:lang w:val="uk-UA"/>
              </w:rPr>
            </w:pPr>
          </w:p>
        </w:tc>
      </w:tr>
      <w:tr w:rsidR="003902D8" w:rsidRPr="00B9319E" w:rsidTr="00EE45D5">
        <w:tc>
          <w:tcPr>
            <w:tcW w:w="402" w:type="dxa"/>
            <w:tcBorders>
              <w:left w:val="nil"/>
              <w:right w:val="nil"/>
            </w:tcBorders>
            <w:shd w:val="clear" w:color="auto" w:fill="C0C0C0"/>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5.</w:t>
            </w:r>
          </w:p>
        </w:tc>
        <w:tc>
          <w:tcPr>
            <w:tcW w:w="6936" w:type="dxa"/>
            <w:tcBorders>
              <w:left w:val="nil"/>
              <w:right w:val="nil"/>
            </w:tcBorders>
            <w:shd w:val="clear" w:color="auto" w:fill="C0C0C0"/>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Borders>
              <w:left w:val="nil"/>
              <w:right w:val="nil"/>
            </w:tcBorders>
            <w:shd w:val="clear" w:color="auto" w:fill="C0C0C0"/>
          </w:tcPr>
          <w:p w:rsidR="003902D8" w:rsidRPr="00B9319E" w:rsidRDefault="003902D8"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3902D8" w:rsidRPr="00B9319E" w:rsidTr="00EE45D5">
        <w:tc>
          <w:tcPr>
            <w:tcW w:w="402" w:type="dxa"/>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6.</w:t>
            </w:r>
          </w:p>
        </w:tc>
        <w:tc>
          <w:tcPr>
            <w:tcW w:w="6936" w:type="dxa"/>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Надмірна кількість органів влади, з якими має контакт приватний сектор згідно процедури</w:t>
            </w:r>
          </w:p>
        </w:tc>
        <w:tc>
          <w:tcPr>
            <w:tcW w:w="2233" w:type="dxa"/>
          </w:tcPr>
          <w:p w:rsidR="003902D8" w:rsidRPr="00B9319E" w:rsidRDefault="003902D8"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3902D8" w:rsidRPr="00B9319E" w:rsidTr="00EE45D5">
        <w:tc>
          <w:tcPr>
            <w:tcW w:w="402" w:type="dxa"/>
            <w:tcBorders>
              <w:left w:val="nil"/>
              <w:right w:val="nil"/>
            </w:tcBorders>
            <w:shd w:val="clear" w:color="auto" w:fill="C0C0C0"/>
          </w:tcPr>
          <w:p w:rsidR="003902D8" w:rsidRPr="00B9319E" w:rsidRDefault="003902D8" w:rsidP="00EE45D5">
            <w:pPr>
              <w:spacing w:after="0" w:line="240" w:lineRule="auto"/>
              <w:rPr>
                <w:b/>
                <w:bCs/>
                <w:color w:val="000000"/>
                <w:sz w:val="24"/>
                <w:szCs w:val="24"/>
                <w:lang w:val="uk-UA"/>
              </w:rPr>
            </w:pPr>
            <w:r w:rsidRPr="00B9319E">
              <w:rPr>
                <w:bCs/>
                <w:color w:val="000000"/>
                <w:sz w:val="24"/>
                <w:szCs w:val="24"/>
                <w:lang w:val="uk-UA"/>
              </w:rPr>
              <w:t>7.</w:t>
            </w:r>
          </w:p>
        </w:tc>
        <w:tc>
          <w:tcPr>
            <w:tcW w:w="6936" w:type="dxa"/>
            <w:tcBorders>
              <w:left w:val="nil"/>
              <w:right w:val="nil"/>
            </w:tcBorders>
            <w:shd w:val="clear" w:color="auto" w:fill="C0C0C0"/>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Поєднання нормотворчих та контролюючих функцій в одному органі влади</w:t>
            </w:r>
          </w:p>
        </w:tc>
        <w:tc>
          <w:tcPr>
            <w:tcW w:w="2233" w:type="dxa"/>
            <w:tcBorders>
              <w:left w:val="nil"/>
              <w:right w:val="nil"/>
            </w:tcBorders>
            <w:shd w:val="clear" w:color="auto" w:fill="C0C0C0"/>
          </w:tcPr>
          <w:p w:rsidR="003902D8" w:rsidRPr="00B9319E" w:rsidRDefault="003902D8" w:rsidP="00EE45D5">
            <w:pPr>
              <w:spacing w:after="0" w:line="240" w:lineRule="auto"/>
              <w:jc w:val="center"/>
              <w:rPr>
                <w:color w:val="000000"/>
                <w:sz w:val="24"/>
                <w:szCs w:val="24"/>
                <w:lang w:val="uk-UA"/>
              </w:rPr>
            </w:pPr>
            <w:r w:rsidRPr="00B9319E">
              <w:rPr>
                <w:color w:val="000000"/>
                <w:sz w:val="24"/>
                <w:szCs w:val="24"/>
                <w:lang w:val="uk-UA"/>
              </w:rPr>
              <w:t>Не виявлено</w:t>
            </w:r>
          </w:p>
        </w:tc>
      </w:tr>
      <w:tr w:rsidR="003902D8" w:rsidRPr="00B9319E" w:rsidTr="00EE45D5">
        <w:tc>
          <w:tcPr>
            <w:tcW w:w="402" w:type="dxa"/>
            <w:tcBorders>
              <w:bottom w:val="single" w:sz="8" w:space="0" w:color="000000"/>
            </w:tcBorders>
          </w:tcPr>
          <w:p w:rsidR="003902D8" w:rsidRPr="00FC515C" w:rsidRDefault="003902D8" w:rsidP="00EE45D5">
            <w:pPr>
              <w:spacing w:after="0" w:line="240" w:lineRule="auto"/>
              <w:rPr>
                <w:bCs/>
                <w:color w:val="000000"/>
                <w:sz w:val="24"/>
                <w:szCs w:val="24"/>
                <w:lang w:val="uk-UA"/>
              </w:rPr>
            </w:pPr>
            <w:r w:rsidRPr="00FC515C">
              <w:rPr>
                <w:bCs/>
                <w:color w:val="000000"/>
                <w:sz w:val="24"/>
                <w:szCs w:val="24"/>
                <w:lang w:val="uk-UA"/>
              </w:rPr>
              <w:t>8.</w:t>
            </w:r>
          </w:p>
        </w:tc>
        <w:tc>
          <w:tcPr>
            <w:tcW w:w="6936" w:type="dxa"/>
            <w:tcBorders>
              <w:bottom w:val="single" w:sz="8" w:space="0" w:color="000000"/>
            </w:tcBorders>
          </w:tcPr>
          <w:p w:rsidR="003902D8" w:rsidRPr="00B9319E" w:rsidRDefault="003902D8" w:rsidP="00EE45D5">
            <w:pPr>
              <w:spacing w:after="0" w:line="240" w:lineRule="auto"/>
              <w:rPr>
                <w:color w:val="000000"/>
                <w:sz w:val="24"/>
                <w:szCs w:val="24"/>
                <w:lang w:val="uk-UA"/>
              </w:rPr>
            </w:pPr>
            <w:r w:rsidRPr="00075FCC">
              <w:rPr>
                <w:rFonts w:cs="Arial"/>
                <w:color w:val="000000"/>
                <w:sz w:val="24"/>
                <w:szCs w:val="24"/>
                <w:lang w:val="uk-UA" w:eastAsia="ru-RU"/>
              </w:rPr>
              <w:t>Конфлікт інтересів ініціаторів законопроекту, що може призвести до отримання неправомірної вигоди</w:t>
            </w:r>
          </w:p>
        </w:tc>
        <w:tc>
          <w:tcPr>
            <w:tcW w:w="2233" w:type="dxa"/>
            <w:tcBorders>
              <w:bottom w:val="single" w:sz="8" w:space="0" w:color="000000"/>
            </w:tcBorders>
          </w:tcPr>
          <w:p w:rsidR="003902D8" w:rsidRPr="00FC515C" w:rsidRDefault="003902D8" w:rsidP="00EE45D5">
            <w:pPr>
              <w:spacing w:after="0" w:line="240" w:lineRule="auto"/>
              <w:jc w:val="center"/>
              <w:rPr>
                <w:color w:val="000000"/>
                <w:sz w:val="24"/>
                <w:szCs w:val="24"/>
                <w:lang w:val="uk-UA"/>
              </w:rPr>
            </w:pPr>
            <w:r w:rsidRPr="00FC515C">
              <w:rPr>
                <w:color w:val="000000"/>
                <w:sz w:val="24"/>
                <w:szCs w:val="24"/>
                <w:lang w:val="uk-UA"/>
              </w:rPr>
              <w:t>Не виявлено</w:t>
            </w:r>
          </w:p>
        </w:tc>
      </w:tr>
      <w:tr w:rsidR="003902D8" w:rsidRPr="00B9319E" w:rsidTr="00EE45D5">
        <w:tc>
          <w:tcPr>
            <w:tcW w:w="402" w:type="dxa"/>
            <w:tcBorders>
              <w:bottom w:val="single" w:sz="8" w:space="0" w:color="000000"/>
            </w:tcBorders>
          </w:tcPr>
          <w:p w:rsidR="003902D8" w:rsidRPr="00B9319E" w:rsidRDefault="003902D8" w:rsidP="00EE45D5">
            <w:pPr>
              <w:spacing w:after="0" w:line="240" w:lineRule="auto"/>
              <w:rPr>
                <w:b/>
                <w:bCs/>
                <w:color w:val="000000"/>
                <w:sz w:val="24"/>
                <w:szCs w:val="24"/>
                <w:lang w:val="uk-UA"/>
              </w:rPr>
            </w:pPr>
          </w:p>
        </w:tc>
        <w:tc>
          <w:tcPr>
            <w:tcW w:w="6936" w:type="dxa"/>
            <w:tcBorders>
              <w:bottom w:val="single" w:sz="8" w:space="0" w:color="000000"/>
            </w:tcBorders>
          </w:tcPr>
          <w:p w:rsidR="003902D8" w:rsidRPr="00B9319E" w:rsidRDefault="003902D8" w:rsidP="00EE45D5">
            <w:pPr>
              <w:spacing w:after="0" w:line="240" w:lineRule="auto"/>
              <w:rPr>
                <w:color w:val="000000"/>
                <w:sz w:val="24"/>
                <w:szCs w:val="24"/>
                <w:lang w:val="uk-UA"/>
              </w:rPr>
            </w:pPr>
            <w:r w:rsidRPr="00B9319E">
              <w:rPr>
                <w:color w:val="000000"/>
                <w:sz w:val="24"/>
                <w:szCs w:val="24"/>
                <w:lang w:val="uk-UA"/>
              </w:rPr>
              <w:t>Всього</w:t>
            </w:r>
          </w:p>
        </w:tc>
        <w:tc>
          <w:tcPr>
            <w:tcW w:w="2233" w:type="dxa"/>
            <w:tcBorders>
              <w:bottom w:val="single" w:sz="8" w:space="0" w:color="000000"/>
            </w:tcBorders>
          </w:tcPr>
          <w:p w:rsidR="003902D8" w:rsidRPr="00B9319E" w:rsidRDefault="00304690" w:rsidP="00EE45D5">
            <w:pPr>
              <w:spacing w:after="0" w:line="240" w:lineRule="auto"/>
              <w:jc w:val="center"/>
              <w:rPr>
                <w:b/>
                <w:color w:val="000000"/>
                <w:sz w:val="24"/>
                <w:szCs w:val="24"/>
                <w:lang w:val="uk-UA"/>
              </w:rPr>
            </w:pPr>
            <w:r>
              <w:rPr>
                <w:b/>
                <w:color w:val="000000"/>
                <w:sz w:val="24"/>
                <w:szCs w:val="24"/>
                <w:lang w:val="uk-UA"/>
              </w:rPr>
              <w:t>2</w:t>
            </w:r>
          </w:p>
        </w:tc>
      </w:tr>
    </w:tbl>
    <w:p w:rsidR="003902D8" w:rsidRDefault="003902D8" w:rsidP="003902D8">
      <w:pPr>
        <w:pStyle w:val="1"/>
        <w:numPr>
          <w:ilvl w:val="0"/>
          <w:numId w:val="2"/>
        </w:numPr>
        <w:spacing w:before="120" w:after="120" w:line="240" w:lineRule="auto"/>
        <w:ind w:left="714" w:hanging="357"/>
        <w:contextualSpacing w:val="0"/>
        <w:rPr>
          <w:b/>
          <w:sz w:val="24"/>
          <w:szCs w:val="24"/>
          <w:lang w:val="uk-UA"/>
        </w:rPr>
      </w:pPr>
      <w:r w:rsidRPr="001E2478">
        <w:rPr>
          <w:b/>
          <w:sz w:val="24"/>
          <w:szCs w:val="24"/>
          <w:lang w:val="uk-UA"/>
        </w:rPr>
        <w:t>Ключові наслідки</w:t>
      </w:r>
    </w:p>
    <w:tbl>
      <w:tblPr>
        <w:tblStyle w:val="a6"/>
        <w:tblW w:w="0" w:type="auto"/>
        <w:tblLook w:val="04A0"/>
      </w:tblPr>
      <w:tblGrid>
        <w:gridCol w:w="3190"/>
        <w:gridCol w:w="3190"/>
        <w:gridCol w:w="3190"/>
      </w:tblGrid>
      <w:tr w:rsidR="00304690" w:rsidTr="00304690">
        <w:tc>
          <w:tcPr>
            <w:tcW w:w="3190" w:type="dxa"/>
          </w:tcPr>
          <w:p w:rsidR="00304690" w:rsidRPr="00B9319E" w:rsidRDefault="00304690" w:rsidP="007A0A1D">
            <w:pPr>
              <w:jc w:val="center"/>
              <w:rPr>
                <w:sz w:val="24"/>
                <w:szCs w:val="24"/>
                <w:lang w:val="uk-UA"/>
              </w:rPr>
            </w:pPr>
            <w:r w:rsidRPr="00B9319E">
              <w:rPr>
                <w:sz w:val="24"/>
                <w:szCs w:val="24"/>
                <w:lang w:val="uk-UA"/>
              </w:rPr>
              <w:t>Стаття законопроекту</w:t>
            </w:r>
          </w:p>
        </w:tc>
        <w:tc>
          <w:tcPr>
            <w:tcW w:w="3190" w:type="dxa"/>
          </w:tcPr>
          <w:p w:rsidR="00304690" w:rsidRPr="00B9319E" w:rsidRDefault="00304690" w:rsidP="007A0A1D">
            <w:pPr>
              <w:jc w:val="center"/>
              <w:rPr>
                <w:sz w:val="24"/>
                <w:szCs w:val="24"/>
                <w:lang w:val="uk-UA"/>
              </w:rPr>
            </w:pPr>
            <w:proofErr w:type="spellStart"/>
            <w:r w:rsidRPr="00B9319E">
              <w:rPr>
                <w:sz w:val="24"/>
                <w:szCs w:val="24"/>
                <w:lang w:val="uk-UA"/>
              </w:rPr>
              <w:t>Корупціогенний</w:t>
            </w:r>
            <w:proofErr w:type="spellEnd"/>
            <w:r w:rsidRPr="00B9319E">
              <w:rPr>
                <w:sz w:val="24"/>
                <w:szCs w:val="24"/>
                <w:lang w:val="uk-UA"/>
              </w:rPr>
              <w:t xml:space="preserve"> чинник</w:t>
            </w:r>
          </w:p>
        </w:tc>
        <w:tc>
          <w:tcPr>
            <w:tcW w:w="3190" w:type="dxa"/>
          </w:tcPr>
          <w:p w:rsidR="00304690" w:rsidRPr="00B9319E" w:rsidRDefault="00304690" w:rsidP="007A0A1D">
            <w:pPr>
              <w:jc w:val="center"/>
              <w:rPr>
                <w:sz w:val="24"/>
                <w:szCs w:val="24"/>
                <w:lang w:val="uk-UA"/>
              </w:rPr>
            </w:pPr>
            <w:r w:rsidRPr="00B9319E">
              <w:rPr>
                <w:sz w:val="24"/>
                <w:szCs w:val="24"/>
                <w:lang w:val="uk-UA"/>
              </w:rPr>
              <w:t>Наслідок</w:t>
            </w:r>
          </w:p>
        </w:tc>
      </w:tr>
      <w:tr w:rsidR="00304690" w:rsidTr="00304690">
        <w:tc>
          <w:tcPr>
            <w:tcW w:w="3190" w:type="dxa"/>
          </w:tcPr>
          <w:p w:rsidR="00304690" w:rsidRPr="00145897" w:rsidRDefault="00145897" w:rsidP="00304690">
            <w:pPr>
              <w:pStyle w:val="1"/>
              <w:spacing w:before="120" w:after="120"/>
              <w:ind w:left="0"/>
              <w:contextualSpacing w:val="0"/>
              <w:rPr>
                <w:sz w:val="24"/>
                <w:szCs w:val="24"/>
                <w:lang w:val="uk-UA"/>
              </w:rPr>
            </w:pPr>
            <w:r w:rsidRPr="00145897">
              <w:rPr>
                <w:sz w:val="24"/>
                <w:szCs w:val="24"/>
                <w:lang w:val="uk-UA"/>
              </w:rPr>
              <w:t xml:space="preserve">Частина І законопроекту </w:t>
            </w:r>
          </w:p>
        </w:tc>
        <w:tc>
          <w:tcPr>
            <w:tcW w:w="3190" w:type="dxa"/>
          </w:tcPr>
          <w:p w:rsidR="00304690" w:rsidRPr="00145897" w:rsidRDefault="00145897" w:rsidP="00304690">
            <w:pPr>
              <w:pStyle w:val="1"/>
              <w:spacing w:before="120" w:after="120"/>
              <w:ind w:left="0"/>
              <w:contextualSpacing w:val="0"/>
              <w:rPr>
                <w:sz w:val="24"/>
                <w:szCs w:val="24"/>
                <w:lang w:val="uk-UA"/>
              </w:rPr>
            </w:pPr>
            <w:r>
              <w:rPr>
                <w:b/>
                <w:sz w:val="24"/>
                <w:szCs w:val="24"/>
                <w:lang w:val="uk-UA"/>
              </w:rPr>
              <w:t xml:space="preserve">Порушення балансу інтересів. </w:t>
            </w:r>
          </w:p>
          <w:p w:rsidR="00145897" w:rsidRDefault="00145897" w:rsidP="00304690">
            <w:pPr>
              <w:pStyle w:val="1"/>
              <w:spacing w:before="120" w:after="120"/>
              <w:ind w:left="0"/>
              <w:contextualSpacing w:val="0"/>
              <w:rPr>
                <w:b/>
                <w:sz w:val="24"/>
                <w:szCs w:val="24"/>
                <w:lang w:val="uk-UA"/>
              </w:rPr>
            </w:pPr>
            <w:r w:rsidRPr="00145897">
              <w:rPr>
                <w:sz w:val="24"/>
                <w:szCs w:val="24"/>
                <w:lang w:val="uk-UA"/>
              </w:rPr>
              <w:t>Пропонується вивести закупівлі продуктів харчування для державних навчальних закладів з</w:t>
            </w:r>
            <w:r>
              <w:rPr>
                <w:sz w:val="24"/>
                <w:szCs w:val="24"/>
                <w:lang w:val="uk-UA"/>
              </w:rPr>
              <w:t xml:space="preserve">-під дії ЗУ «Про здійснення </w:t>
            </w:r>
            <w:r>
              <w:rPr>
                <w:sz w:val="24"/>
                <w:szCs w:val="24"/>
                <w:lang w:val="uk-UA"/>
              </w:rPr>
              <w:lastRenderedPageBreak/>
              <w:t>державних закупівель».</w:t>
            </w:r>
          </w:p>
        </w:tc>
        <w:tc>
          <w:tcPr>
            <w:tcW w:w="3190" w:type="dxa"/>
          </w:tcPr>
          <w:p w:rsidR="00304690" w:rsidRPr="00145897" w:rsidRDefault="00145897" w:rsidP="00304690">
            <w:pPr>
              <w:pStyle w:val="1"/>
              <w:spacing w:before="120" w:after="120"/>
              <w:ind w:left="0"/>
              <w:contextualSpacing w:val="0"/>
              <w:rPr>
                <w:sz w:val="24"/>
                <w:szCs w:val="24"/>
                <w:lang w:val="uk-UA"/>
              </w:rPr>
            </w:pPr>
            <w:r w:rsidRPr="00145897">
              <w:rPr>
                <w:sz w:val="24"/>
                <w:szCs w:val="24"/>
                <w:lang w:val="uk-UA"/>
              </w:rPr>
              <w:lastRenderedPageBreak/>
              <w:t xml:space="preserve">Замовники зможуть </w:t>
            </w:r>
            <w:r>
              <w:rPr>
                <w:sz w:val="24"/>
                <w:szCs w:val="24"/>
                <w:lang w:val="uk-UA"/>
              </w:rPr>
              <w:t xml:space="preserve">на власний розсуд проводити закупівлі продуктів харчування, без оприлюднення їхніх результатів. Це зможе призвести до вимагання неправомірної вигоди від </w:t>
            </w:r>
            <w:r>
              <w:rPr>
                <w:sz w:val="24"/>
                <w:szCs w:val="24"/>
                <w:lang w:val="uk-UA"/>
              </w:rPr>
              <w:lastRenderedPageBreak/>
              <w:t>постачальників продуктів харчування, постачання продуктів неналежної якості або за завищеними цінами</w:t>
            </w:r>
          </w:p>
        </w:tc>
      </w:tr>
      <w:tr w:rsidR="00145897" w:rsidTr="00304690">
        <w:tc>
          <w:tcPr>
            <w:tcW w:w="3190" w:type="dxa"/>
          </w:tcPr>
          <w:p w:rsidR="00145897" w:rsidRPr="00145897" w:rsidRDefault="00145897" w:rsidP="00304690">
            <w:pPr>
              <w:pStyle w:val="1"/>
              <w:spacing w:before="120" w:after="120"/>
              <w:ind w:left="0"/>
              <w:contextualSpacing w:val="0"/>
              <w:rPr>
                <w:sz w:val="24"/>
                <w:szCs w:val="24"/>
                <w:lang w:val="uk-UA"/>
              </w:rPr>
            </w:pPr>
            <w:r>
              <w:rPr>
                <w:sz w:val="24"/>
                <w:szCs w:val="24"/>
                <w:lang w:val="uk-UA"/>
              </w:rPr>
              <w:lastRenderedPageBreak/>
              <w:t xml:space="preserve">Частина І законопроекту </w:t>
            </w:r>
          </w:p>
        </w:tc>
        <w:tc>
          <w:tcPr>
            <w:tcW w:w="3190" w:type="dxa"/>
          </w:tcPr>
          <w:p w:rsidR="00145897" w:rsidRDefault="00145897" w:rsidP="00304690">
            <w:pPr>
              <w:pStyle w:val="1"/>
              <w:spacing w:before="120" w:after="120"/>
              <w:ind w:left="0"/>
              <w:contextualSpacing w:val="0"/>
              <w:rPr>
                <w:b/>
                <w:sz w:val="24"/>
                <w:szCs w:val="24"/>
                <w:lang w:val="uk-UA"/>
              </w:rPr>
            </w:pPr>
            <w:r>
              <w:rPr>
                <w:b/>
                <w:sz w:val="24"/>
                <w:szCs w:val="24"/>
                <w:lang w:val="uk-UA"/>
              </w:rPr>
              <w:t xml:space="preserve">Прогалини правового регулювання. </w:t>
            </w:r>
          </w:p>
          <w:p w:rsidR="00145897" w:rsidRDefault="00145897" w:rsidP="00145897">
            <w:pPr>
              <w:pStyle w:val="1"/>
              <w:spacing w:before="120" w:after="120"/>
              <w:ind w:left="0"/>
              <w:contextualSpacing w:val="0"/>
              <w:rPr>
                <w:rFonts w:asciiTheme="minorHAnsi" w:hAnsiTheme="minorHAnsi"/>
                <w:sz w:val="24"/>
                <w:szCs w:val="24"/>
                <w:lang w:val="uk-UA"/>
              </w:rPr>
            </w:pPr>
            <w:r>
              <w:rPr>
                <w:rFonts w:asciiTheme="minorHAnsi" w:hAnsiTheme="minorHAnsi"/>
                <w:sz w:val="24"/>
                <w:szCs w:val="24"/>
                <w:lang w:val="uk-UA"/>
              </w:rPr>
              <w:t>Проект зобов’язує замовників здійснювати закупівлю продуктів</w:t>
            </w:r>
            <w:r w:rsidRPr="00145897">
              <w:rPr>
                <w:rFonts w:asciiTheme="minorHAnsi" w:hAnsiTheme="minorHAnsi"/>
                <w:sz w:val="24"/>
                <w:szCs w:val="24"/>
                <w:lang w:val="uk-UA"/>
              </w:rPr>
              <w:t xml:space="preserve"> харчування </w:t>
            </w:r>
            <w:r>
              <w:rPr>
                <w:rFonts w:asciiTheme="minorHAnsi" w:hAnsiTheme="minorHAnsi"/>
                <w:sz w:val="24"/>
                <w:szCs w:val="24"/>
                <w:lang w:val="uk-UA"/>
              </w:rPr>
              <w:t>«</w:t>
            </w:r>
            <w:r w:rsidRPr="00145897">
              <w:rPr>
                <w:rFonts w:asciiTheme="minorHAnsi" w:hAnsiTheme="minorHAnsi"/>
                <w:sz w:val="24"/>
                <w:szCs w:val="24"/>
                <w:lang w:val="uk-UA"/>
              </w:rPr>
              <w:t>за цінами, що не перевищують офіційні</w:t>
            </w:r>
            <w:r>
              <w:rPr>
                <w:rFonts w:asciiTheme="minorHAnsi" w:hAnsiTheme="minorHAnsi"/>
                <w:sz w:val="24"/>
                <w:szCs w:val="24"/>
                <w:lang w:val="uk-UA"/>
              </w:rPr>
              <w:t xml:space="preserve"> </w:t>
            </w:r>
            <w:r w:rsidRPr="00145897">
              <w:rPr>
                <w:rFonts w:asciiTheme="minorHAnsi" w:hAnsiTheme="minorHAnsi"/>
                <w:sz w:val="24"/>
                <w:szCs w:val="24"/>
                <w:lang w:val="uk-UA"/>
              </w:rPr>
              <w:t>середньостатистичні ціни на момент закупівлі продуктів харчування</w:t>
            </w:r>
            <w:r>
              <w:rPr>
                <w:rFonts w:asciiTheme="minorHAnsi" w:hAnsiTheme="minorHAnsi"/>
                <w:sz w:val="24"/>
                <w:szCs w:val="24"/>
                <w:lang w:val="uk-UA"/>
              </w:rPr>
              <w:t xml:space="preserve">». </w:t>
            </w:r>
          </w:p>
          <w:p w:rsidR="00145897" w:rsidRDefault="00145897" w:rsidP="00145897">
            <w:pPr>
              <w:pStyle w:val="1"/>
              <w:spacing w:before="120" w:after="120"/>
              <w:ind w:left="0"/>
              <w:contextualSpacing w:val="0"/>
              <w:rPr>
                <w:b/>
                <w:sz w:val="24"/>
                <w:szCs w:val="24"/>
                <w:lang w:val="uk-UA"/>
              </w:rPr>
            </w:pPr>
            <w:r>
              <w:rPr>
                <w:rFonts w:asciiTheme="minorHAnsi" w:hAnsiTheme="minorHAnsi"/>
                <w:sz w:val="24"/>
                <w:szCs w:val="24"/>
                <w:lang w:val="uk-UA"/>
              </w:rPr>
              <w:t>Проект (як і дотичне законодавство) не містить чіткого визначення «офіційних середньостатистичних цін»</w:t>
            </w:r>
          </w:p>
        </w:tc>
        <w:tc>
          <w:tcPr>
            <w:tcW w:w="3190" w:type="dxa"/>
          </w:tcPr>
          <w:p w:rsidR="00145897" w:rsidRPr="00145897" w:rsidRDefault="00145897" w:rsidP="00304690">
            <w:pPr>
              <w:pStyle w:val="1"/>
              <w:spacing w:before="120" w:after="120"/>
              <w:ind w:left="0"/>
              <w:contextualSpacing w:val="0"/>
              <w:rPr>
                <w:sz w:val="24"/>
                <w:szCs w:val="24"/>
                <w:lang w:val="uk-UA"/>
              </w:rPr>
            </w:pPr>
            <w:r>
              <w:rPr>
                <w:sz w:val="24"/>
                <w:szCs w:val="24"/>
                <w:lang w:val="uk-UA"/>
              </w:rPr>
              <w:t xml:space="preserve">Внаслідок прогалини правового регулювання замовники проводитимуть закупівлі на власний розсуд. </w:t>
            </w:r>
          </w:p>
        </w:tc>
      </w:tr>
    </w:tbl>
    <w:p w:rsidR="003902D8" w:rsidRPr="001E2478" w:rsidRDefault="00C63174" w:rsidP="003902D8">
      <w:pPr>
        <w:pStyle w:val="1"/>
        <w:numPr>
          <w:ilvl w:val="0"/>
          <w:numId w:val="2"/>
        </w:numPr>
        <w:spacing w:before="120" w:after="0" w:line="240" w:lineRule="auto"/>
        <w:contextualSpacing w:val="0"/>
        <w:rPr>
          <w:b/>
          <w:sz w:val="24"/>
          <w:szCs w:val="24"/>
          <w:lang w:val="uk-UA"/>
        </w:rPr>
      </w:pPr>
      <w:r>
        <w:rPr>
          <w:b/>
          <w:sz w:val="24"/>
          <w:szCs w:val="24"/>
          <w:lang w:val="uk-UA"/>
        </w:rPr>
        <w:t>С</w:t>
      </w:r>
      <w:r w:rsidR="003902D8" w:rsidRPr="001E2478">
        <w:rPr>
          <w:b/>
          <w:sz w:val="24"/>
          <w:szCs w:val="24"/>
          <w:lang w:val="uk-UA"/>
        </w:rPr>
        <w:t xml:space="preserve">уб’єкти корупційних відносин </w:t>
      </w:r>
    </w:p>
    <w:p w:rsidR="003902D8" w:rsidRDefault="003902D8" w:rsidP="003902D8">
      <w:pPr>
        <w:spacing w:before="120" w:after="0" w:line="240" w:lineRule="auto"/>
        <w:jc w:val="both"/>
        <w:rPr>
          <w:sz w:val="24"/>
          <w:szCs w:val="24"/>
          <w:lang w:val="uk-UA"/>
        </w:rPr>
      </w:pPr>
      <w:r w:rsidRPr="001E2478">
        <w:rPr>
          <w:b/>
          <w:i/>
          <w:sz w:val="24"/>
          <w:szCs w:val="24"/>
          <w:lang w:val="uk-UA"/>
        </w:rPr>
        <w:t>Хто може отримувати корупційні вигоди:</w:t>
      </w:r>
      <w:r w:rsidRPr="001E2478">
        <w:rPr>
          <w:sz w:val="24"/>
          <w:szCs w:val="24"/>
          <w:lang w:val="uk-UA"/>
        </w:rPr>
        <w:t xml:space="preserve"> </w:t>
      </w:r>
      <w:r w:rsidR="00C63174" w:rsidRPr="00C63174">
        <w:rPr>
          <w:sz w:val="24"/>
          <w:szCs w:val="24"/>
          <w:lang w:val="uk-UA"/>
        </w:rPr>
        <w:t xml:space="preserve">замовники </w:t>
      </w:r>
      <w:r w:rsidR="00C63174">
        <w:rPr>
          <w:sz w:val="24"/>
          <w:szCs w:val="24"/>
          <w:lang w:val="uk-UA"/>
        </w:rPr>
        <w:t>продуктів харчування (керівники державних навчальних закладів та управлінь освіти)</w:t>
      </w:r>
    </w:p>
    <w:p w:rsidR="003902D8" w:rsidRPr="001E2478" w:rsidRDefault="003902D8" w:rsidP="003902D8">
      <w:pPr>
        <w:spacing w:before="120" w:after="0" w:line="240" w:lineRule="auto"/>
        <w:rPr>
          <w:sz w:val="24"/>
          <w:szCs w:val="24"/>
          <w:lang w:val="uk-UA"/>
        </w:rPr>
      </w:pPr>
      <w:r w:rsidRPr="001E2478">
        <w:rPr>
          <w:b/>
          <w:i/>
          <w:sz w:val="24"/>
          <w:szCs w:val="24"/>
          <w:lang w:val="uk-UA"/>
        </w:rPr>
        <w:t>Методологія оцінки обсягу корупційної вигоди та результати оцінки:</w:t>
      </w:r>
      <w:r w:rsidRPr="001E2478">
        <w:rPr>
          <w:sz w:val="24"/>
          <w:szCs w:val="24"/>
          <w:lang w:val="uk-UA"/>
        </w:rPr>
        <w:t xml:space="preserve"> </w:t>
      </w:r>
      <w:r w:rsidR="00C63174">
        <w:rPr>
          <w:sz w:val="24"/>
          <w:szCs w:val="24"/>
          <w:lang w:val="uk-UA"/>
        </w:rPr>
        <w:t xml:space="preserve">в стадії розробки </w:t>
      </w:r>
    </w:p>
    <w:p w:rsidR="003902D8" w:rsidRPr="00953F77" w:rsidRDefault="003902D8" w:rsidP="003902D8">
      <w:pPr>
        <w:pStyle w:val="1"/>
        <w:spacing w:before="120" w:after="0" w:line="240" w:lineRule="auto"/>
        <w:ind w:left="0"/>
        <w:jc w:val="both"/>
        <w:rPr>
          <w:sz w:val="24"/>
          <w:szCs w:val="24"/>
          <w:lang w:val="uk-UA"/>
        </w:rPr>
      </w:pPr>
      <w:r w:rsidRPr="001E2478">
        <w:rPr>
          <w:b/>
          <w:i/>
          <w:sz w:val="24"/>
          <w:szCs w:val="24"/>
          <w:lang w:val="uk-UA"/>
        </w:rPr>
        <w:t xml:space="preserve">Хто платитиме корупційні внески: </w:t>
      </w:r>
      <w:r w:rsidR="00145897">
        <w:rPr>
          <w:sz w:val="24"/>
          <w:szCs w:val="24"/>
          <w:lang w:val="uk-UA"/>
        </w:rPr>
        <w:t>постачальники продуктів харчування</w:t>
      </w:r>
    </w:p>
    <w:p w:rsidR="003902D8" w:rsidRPr="001E2478" w:rsidRDefault="003902D8" w:rsidP="003902D8">
      <w:pPr>
        <w:spacing w:before="120" w:after="0" w:line="240" w:lineRule="auto"/>
        <w:rPr>
          <w:sz w:val="24"/>
          <w:szCs w:val="24"/>
          <w:lang w:val="uk-UA"/>
        </w:rPr>
      </w:pPr>
      <w:r w:rsidRPr="001E2478">
        <w:rPr>
          <w:b/>
          <w:i/>
          <w:sz w:val="24"/>
          <w:szCs w:val="24"/>
          <w:lang w:val="uk-UA"/>
        </w:rPr>
        <w:t>Методологія оцінки обсягу корупційних втрат та результати оцінки:</w:t>
      </w:r>
      <w:r w:rsidRPr="001E2478">
        <w:rPr>
          <w:sz w:val="24"/>
          <w:szCs w:val="24"/>
          <w:lang w:val="uk-UA"/>
        </w:rPr>
        <w:t xml:space="preserve"> </w:t>
      </w:r>
      <w:r w:rsidR="00145897">
        <w:rPr>
          <w:sz w:val="24"/>
          <w:szCs w:val="24"/>
          <w:lang w:val="uk-UA"/>
        </w:rPr>
        <w:t>в стадії розробки</w:t>
      </w:r>
    </w:p>
    <w:p w:rsidR="003902D8" w:rsidRPr="001E2478" w:rsidRDefault="003902D8" w:rsidP="003902D8">
      <w:pPr>
        <w:pStyle w:val="1"/>
        <w:numPr>
          <w:ilvl w:val="0"/>
          <w:numId w:val="2"/>
        </w:numPr>
        <w:spacing w:before="120" w:after="0" w:line="240" w:lineRule="auto"/>
        <w:ind w:left="714" w:hanging="357"/>
        <w:contextualSpacing w:val="0"/>
        <w:rPr>
          <w:b/>
          <w:sz w:val="24"/>
          <w:szCs w:val="24"/>
          <w:lang w:val="uk-UA"/>
        </w:rPr>
      </w:pPr>
      <w:r w:rsidRPr="001E2478">
        <w:rPr>
          <w:b/>
          <w:sz w:val="24"/>
          <w:szCs w:val="24"/>
          <w:lang w:val="uk-UA"/>
        </w:rPr>
        <w:t xml:space="preserve">Висновки та рекомендації </w:t>
      </w:r>
    </w:p>
    <w:p w:rsidR="003902D8" w:rsidRDefault="00145897" w:rsidP="003902D8">
      <w:pPr>
        <w:pStyle w:val="1"/>
        <w:spacing w:before="120" w:after="0" w:line="240" w:lineRule="auto"/>
        <w:ind w:left="0"/>
        <w:jc w:val="both"/>
        <w:rPr>
          <w:sz w:val="24"/>
          <w:szCs w:val="24"/>
          <w:lang w:val="uk-UA"/>
        </w:rPr>
      </w:pPr>
      <w:r>
        <w:rPr>
          <w:sz w:val="24"/>
          <w:szCs w:val="24"/>
          <w:lang w:val="uk-UA"/>
        </w:rPr>
        <w:t xml:space="preserve">Законопроект містить ризики проведення корупційних закупівель продуктів харчування для дітей державних навчальних закладів. Це може призвести до закупівлі цих продуктів неналежної якості та за завищеними цінами, що унеможливить повноцінне харчування дітей у вказаних закладах.  </w:t>
      </w:r>
    </w:p>
    <w:p w:rsidR="003902D8" w:rsidRPr="008D44DC" w:rsidRDefault="003902D8" w:rsidP="003902D8">
      <w:pPr>
        <w:spacing w:before="120" w:after="0" w:line="240" w:lineRule="auto"/>
        <w:jc w:val="center"/>
        <w:rPr>
          <w:sz w:val="24"/>
          <w:szCs w:val="24"/>
          <w:lang w:val="uk-UA"/>
        </w:rPr>
      </w:pPr>
      <w:r w:rsidRPr="008D44DC">
        <w:rPr>
          <w:b/>
          <w:sz w:val="24"/>
          <w:szCs w:val="24"/>
          <w:lang w:val="uk-UA"/>
        </w:rPr>
        <w:t xml:space="preserve">З урахуванням цього висновку, Громадська експертна рада рекомендує </w:t>
      </w:r>
      <w:r w:rsidR="00145897">
        <w:rPr>
          <w:b/>
          <w:sz w:val="24"/>
          <w:szCs w:val="24"/>
          <w:lang w:val="uk-UA"/>
        </w:rPr>
        <w:t xml:space="preserve">відхилити </w:t>
      </w:r>
      <w:r w:rsidRPr="008D44DC">
        <w:rPr>
          <w:b/>
          <w:sz w:val="24"/>
          <w:szCs w:val="24"/>
          <w:lang w:val="uk-UA"/>
        </w:rPr>
        <w:t>законопроект.</w:t>
      </w:r>
    </w:p>
    <w:p w:rsidR="003902D8" w:rsidRPr="00653095" w:rsidRDefault="003902D8" w:rsidP="003902D8">
      <w:pPr>
        <w:spacing w:before="120" w:after="0" w:line="240" w:lineRule="auto"/>
        <w:jc w:val="center"/>
        <w:rPr>
          <w:sz w:val="24"/>
          <w:szCs w:val="24"/>
          <w:lang w:val="uk-UA"/>
        </w:rPr>
      </w:pPr>
      <w:r w:rsidRPr="00653095">
        <w:rPr>
          <w:b/>
          <w:sz w:val="24"/>
          <w:szCs w:val="24"/>
          <w:lang w:val="uk-UA"/>
        </w:rPr>
        <w:t>.</w:t>
      </w:r>
    </w:p>
    <w:p w:rsidR="003902D8" w:rsidRDefault="003902D8" w:rsidP="003902D8">
      <w:pPr>
        <w:rPr>
          <w:sz w:val="24"/>
          <w:szCs w:val="24"/>
          <w:lang w:val="uk-UA"/>
        </w:rPr>
      </w:pPr>
    </w:p>
    <w:p w:rsidR="003902D8" w:rsidRPr="00584FE3" w:rsidRDefault="003902D8" w:rsidP="003902D8">
      <w:pPr>
        <w:rPr>
          <w:lang w:val="uk-UA"/>
        </w:rPr>
      </w:pPr>
    </w:p>
    <w:p w:rsidR="003D21E6" w:rsidRDefault="004C3363">
      <w:pPr>
        <w:rPr>
          <w:lang w:val="uk-UA"/>
        </w:rPr>
      </w:pPr>
    </w:p>
    <w:p w:rsidR="003902D8" w:rsidRDefault="003902D8">
      <w:pPr>
        <w:rPr>
          <w:lang w:val="uk-UA"/>
        </w:rPr>
      </w:pPr>
    </w:p>
    <w:p w:rsidR="003902D8" w:rsidRPr="003902D8" w:rsidRDefault="003902D8">
      <w:pPr>
        <w:rPr>
          <w:lang w:val="uk-UA"/>
        </w:rPr>
      </w:pPr>
    </w:p>
    <w:sectPr w:rsidR="003902D8" w:rsidRPr="003902D8" w:rsidSect="00893AB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altName w:val=" 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657B6268"/>
    <w:multiLevelType w:val="hybridMultilevel"/>
    <w:tmpl w:val="A43654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02D8"/>
    <w:rsid w:val="00145897"/>
    <w:rsid w:val="00203F73"/>
    <w:rsid w:val="00304690"/>
    <w:rsid w:val="003902D8"/>
    <w:rsid w:val="004C3363"/>
    <w:rsid w:val="005335BE"/>
    <w:rsid w:val="006479B0"/>
    <w:rsid w:val="006F054B"/>
    <w:rsid w:val="007A1CC1"/>
    <w:rsid w:val="007A6856"/>
    <w:rsid w:val="007B6A4D"/>
    <w:rsid w:val="00830257"/>
    <w:rsid w:val="00893ABC"/>
    <w:rsid w:val="008A53FB"/>
    <w:rsid w:val="00962E13"/>
    <w:rsid w:val="009B1377"/>
    <w:rsid w:val="00A84C07"/>
    <w:rsid w:val="00C3710D"/>
    <w:rsid w:val="00C63174"/>
    <w:rsid w:val="00D541EA"/>
    <w:rsid w:val="00F25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D8"/>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3902D8"/>
    <w:rPr>
      <w:rFonts w:cs="Times New Roman"/>
      <w:color w:val="0000FF"/>
      <w:u w:val="single"/>
    </w:rPr>
  </w:style>
  <w:style w:type="paragraph" w:styleId="a4">
    <w:name w:val="header"/>
    <w:basedOn w:val="a"/>
    <w:link w:val="a5"/>
    <w:rsid w:val="003902D8"/>
    <w:pPr>
      <w:tabs>
        <w:tab w:val="center" w:pos="4677"/>
        <w:tab w:val="right" w:pos="9355"/>
      </w:tabs>
      <w:spacing w:after="0" w:line="240" w:lineRule="auto"/>
    </w:pPr>
    <w:rPr>
      <w:rFonts w:ascii="Arial" w:hAnsi="Arial" w:cs="Arial"/>
      <w:color w:val="000000"/>
      <w:spacing w:val="1"/>
      <w:w w:val="93"/>
      <w:sz w:val="28"/>
      <w:szCs w:val="24"/>
      <w:lang w:val="uk-UA" w:eastAsia="ru-RU"/>
    </w:rPr>
  </w:style>
  <w:style w:type="character" w:customStyle="1" w:styleId="a5">
    <w:name w:val="Верхний колонтитул Знак"/>
    <w:basedOn w:val="a0"/>
    <w:link w:val="a4"/>
    <w:rsid w:val="003902D8"/>
    <w:rPr>
      <w:rFonts w:ascii="Arial" w:eastAsia="Times New Roman" w:hAnsi="Arial" w:cs="Arial"/>
      <w:color w:val="000000"/>
      <w:spacing w:val="1"/>
      <w:w w:val="93"/>
      <w:sz w:val="28"/>
      <w:szCs w:val="24"/>
      <w:lang w:val="uk-UA" w:eastAsia="ru-RU"/>
    </w:rPr>
  </w:style>
  <w:style w:type="paragraph" w:customStyle="1" w:styleId="1">
    <w:name w:val="Абзац списка1"/>
    <w:basedOn w:val="a"/>
    <w:rsid w:val="003902D8"/>
    <w:pPr>
      <w:ind w:left="720"/>
      <w:contextualSpacing/>
    </w:pPr>
  </w:style>
  <w:style w:type="paragraph" w:styleId="HTML">
    <w:name w:val="HTML Preformatted"/>
    <w:basedOn w:val="a"/>
    <w:link w:val="HTML0"/>
    <w:rsid w:val="003902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uk-UA" w:eastAsia="uk-UA"/>
    </w:rPr>
  </w:style>
  <w:style w:type="character" w:customStyle="1" w:styleId="HTML0">
    <w:name w:val="Стандартный HTML Знак"/>
    <w:basedOn w:val="a0"/>
    <w:link w:val="HTML"/>
    <w:rsid w:val="003902D8"/>
    <w:rPr>
      <w:rFonts w:ascii="Courier New" w:eastAsia="Calibri" w:hAnsi="Courier New" w:cs="Courier New"/>
      <w:sz w:val="20"/>
      <w:szCs w:val="20"/>
      <w:lang w:val="uk-UA" w:eastAsia="uk-UA"/>
    </w:rPr>
  </w:style>
  <w:style w:type="paragraph" w:customStyle="1" w:styleId="10">
    <w:name w:val="Знак Знак1 Знак Знак Знак Знак Знак Знак"/>
    <w:basedOn w:val="a"/>
    <w:uiPriority w:val="99"/>
    <w:rsid w:val="00A84C07"/>
    <w:pPr>
      <w:spacing w:after="0" w:line="240" w:lineRule="auto"/>
    </w:pPr>
    <w:rPr>
      <w:rFonts w:ascii="Verdana" w:hAnsi="Verdana" w:cs="Verdana"/>
      <w:sz w:val="20"/>
      <w:szCs w:val="20"/>
      <w:lang w:val="en-US"/>
    </w:rPr>
  </w:style>
  <w:style w:type="table" w:styleId="a6">
    <w:name w:val="Table Grid"/>
    <w:basedOn w:val="a1"/>
    <w:uiPriority w:val="59"/>
    <w:rsid w:val="00304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C63174"/>
    <w:pPr>
      <w:autoSpaceDE w:val="0"/>
      <w:autoSpaceDN w:val="0"/>
      <w:adjustRightInd w:val="0"/>
      <w:spacing w:after="0" w:line="240" w:lineRule="auto"/>
    </w:pPr>
    <w:rPr>
      <w:rFonts w:ascii="Courier New" w:eastAsia="Times New Roman" w:hAnsi="Courier New"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550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17</cp:revision>
  <dcterms:created xsi:type="dcterms:W3CDTF">2013-12-27T11:43:00Z</dcterms:created>
  <dcterms:modified xsi:type="dcterms:W3CDTF">2014-01-08T19:05:00Z</dcterms:modified>
</cp:coreProperties>
</file>